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F" w:rsidRDefault="00FA7B5F" w:rsidP="007C7EB3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</w:p>
    <w:p w:rsidR="00FA7B5F" w:rsidRDefault="00FA7B5F" w:rsidP="007C7EB3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</w:p>
    <w:p w:rsidR="00FA7B5F" w:rsidRDefault="00FA7B5F" w:rsidP="007C7EB3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</w:p>
    <w:p w:rsidR="007C7EB3" w:rsidRPr="007C7EB3" w:rsidRDefault="00FA7B5F" w:rsidP="007C7EB3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Програма вступного іспиту до аспірантури зі сп. 073"/>
          </v:shape>
        </w:pict>
      </w:r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Програму</w:t>
      </w:r>
      <w:r w:rsidR="00F6374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вступного іспиту до аспірантури </w:t>
      </w:r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>з підготовки здобувачів третього (</w:t>
      </w:r>
      <w:proofErr w:type="spellStart"/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>освітньо-наукового</w:t>
      </w:r>
      <w:proofErr w:type="spellEnd"/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>) рівня вищої освіти ступеня доктора філософії (</w:t>
      </w:r>
      <w:proofErr w:type="spellStart"/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>PhD</w:t>
      </w:r>
      <w:proofErr w:type="spellEnd"/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) зі спеціальності 073 «Менеджмент» </w:t>
      </w:r>
      <w:r w:rsidR="00F6374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>розроб</w:t>
      </w:r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ила </w:t>
      </w:r>
      <w:proofErr w:type="spellStart"/>
      <w:r w:rsidR="007C7EB3">
        <w:rPr>
          <w:rFonts w:ascii="Times New Roman" w:hAnsi="Times New Roman" w:cs="Times New Roman"/>
          <w:b w:val="0"/>
          <w:i w:val="0"/>
          <w:sz w:val="28"/>
          <w:szCs w:val="28"/>
        </w:rPr>
        <w:t>д.е.н</w:t>
      </w:r>
      <w:proofErr w:type="spellEnd"/>
      <w:r w:rsidR="007C7EB3">
        <w:rPr>
          <w:rFonts w:ascii="Times New Roman" w:hAnsi="Times New Roman" w:cs="Times New Roman"/>
          <w:b w:val="0"/>
          <w:i w:val="0"/>
          <w:sz w:val="28"/>
          <w:szCs w:val="28"/>
        </w:rPr>
        <w:t>., професор</w:t>
      </w:r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завідувач кафедри менеджменту </w:t>
      </w:r>
      <w:proofErr w:type="spellStart"/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>Запша</w:t>
      </w:r>
      <w:proofErr w:type="spellEnd"/>
      <w:r w:rsidR="007C7EB3" w:rsidRPr="007C7EB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Г.М.</w:t>
      </w:r>
    </w:p>
    <w:p w:rsidR="00F63743" w:rsidRDefault="00F63743" w:rsidP="001E7656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color w:val="494949"/>
          <w:sz w:val="28"/>
          <w:szCs w:val="28"/>
        </w:rPr>
      </w:pPr>
    </w:p>
    <w:p w:rsidR="00665D07" w:rsidRPr="001E7656" w:rsidRDefault="00665D07" w:rsidP="001E7656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color w:val="494949"/>
          <w:sz w:val="28"/>
          <w:szCs w:val="28"/>
        </w:rPr>
      </w:pPr>
    </w:p>
    <w:p w:rsidR="00F63743" w:rsidRPr="001E7656" w:rsidRDefault="00F63743" w:rsidP="001E765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494949"/>
          <w:sz w:val="28"/>
          <w:szCs w:val="28"/>
          <w:lang w:eastAsia="uk-UA"/>
        </w:rPr>
      </w:pPr>
      <w:r w:rsidRPr="001E7656">
        <w:rPr>
          <w:rFonts w:ascii="Times New Roman" w:hAnsi="Times New Roman" w:cs="Times New Roman"/>
          <w:b/>
          <w:i/>
          <w:color w:val="494949"/>
          <w:sz w:val="28"/>
          <w:szCs w:val="28"/>
        </w:rPr>
        <w:br w:type="page"/>
      </w:r>
    </w:p>
    <w:p w:rsidR="00F63743" w:rsidRPr="00F34594" w:rsidRDefault="003075A1" w:rsidP="003075A1">
      <w:pPr>
        <w:pStyle w:val="FR1"/>
        <w:spacing w:after="0"/>
        <w:ind w:firstLine="7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34594">
        <w:rPr>
          <w:rFonts w:ascii="Times New Roman" w:hAnsi="Times New Roman" w:cs="Times New Roman"/>
          <w:i w:val="0"/>
          <w:sz w:val="28"/>
          <w:szCs w:val="28"/>
        </w:rPr>
        <w:lastRenderedPageBreak/>
        <w:t>З</w:t>
      </w:r>
      <w:r w:rsidR="00F345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34594">
        <w:rPr>
          <w:rFonts w:ascii="Times New Roman" w:hAnsi="Times New Roman" w:cs="Times New Roman"/>
          <w:i w:val="0"/>
          <w:sz w:val="28"/>
          <w:szCs w:val="28"/>
        </w:rPr>
        <w:t>М</w:t>
      </w:r>
      <w:r w:rsidR="00F345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34594">
        <w:rPr>
          <w:rFonts w:ascii="Times New Roman" w:hAnsi="Times New Roman" w:cs="Times New Roman"/>
          <w:i w:val="0"/>
          <w:sz w:val="28"/>
          <w:szCs w:val="28"/>
        </w:rPr>
        <w:t>І</w:t>
      </w:r>
      <w:r w:rsidR="00F345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34594">
        <w:rPr>
          <w:rFonts w:ascii="Times New Roman" w:hAnsi="Times New Roman" w:cs="Times New Roman"/>
          <w:i w:val="0"/>
          <w:sz w:val="28"/>
          <w:szCs w:val="28"/>
        </w:rPr>
        <w:t>С</w:t>
      </w:r>
      <w:r w:rsidR="00F345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34594">
        <w:rPr>
          <w:rFonts w:ascii="Times New Roman" w:hAnsi="Times New Roman" w:cs="Times New Roman"/>
          <w:i w:val="0"/>
          <w:sz w:val="28"/>
          <w:szCs w:val="28"/>
        </w:rPr>
        <w:t>Т</w:t>
      </w:r>
    </w:p>
    <w:p w:rsidR="00F34594" w:rsidRDefault="00F34594" w:rsidP="003075A1">
      <w:pPr>
        <w:pStyle w:val="FR1"/>
        <w:spacing w:after="0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23AB" w:rsidRDefault="001B0A7D" w:rsidP="003075A1">
      <w:pPr>
        <w:pStyle w:val="FR1"/>
        <w:spacing w:after="0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B0A7D">
        <w:rPr>
          <w:rFonts w:ascii="Times New Roman" w:hAnsi="Times New Roman" w:cs="Times New Roman"/>
          <w:i w:val="0"/>
          <w:sz w:val="28"/>
          <w:szCs w:val="28"/>
        </w:rPr>
        <w:t>ВСТУП</w:t>
      </w:r>
      <w:r w:rsidR="003075A1" w:rsidRPr="001B0A7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34594" w:rsidRPr="003075A1" w:rsidRDefault="00F34594" w:rsidP="003075A1">
      <w:pPr>
        <w:pStyle w:val="FR1"/>
        <w:spacing w:after="0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075A1" w:rsidRDefault="003075A1" w:rsidP="00F34594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F3459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ЗМІСТ ПРОГРАМИ ВСТУПНОГО ІСПИТУ ЗІ СПЕЦІАЛЬНОСТІ «МЕНЕДЖМЕНТ»</w:t>
      </w:r>
    </w:p>
    <w:p w:rsidR="00F34594" w:rsidRPr="00F34594" w:rsidRDefault="00F34594" w:rsidP="00F34594">
      <w:pPr>
        <w:pStyle w:val="a6"/>
        <w:widowControl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075A1" w:rsidRDefault="003075A1" w:rsidP="00F34594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F3459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СПИСОК РЕКОМЕНДОВАНОЇ ЛІТЕРАТУРИ </w:t>
      </w:r>
    </w:p>
    <w:p w:rsidR="00F34594" w:rsidRPr="00F34594" w:rsidRDefault="00F34594" w:rsidP="00F34594">
      <w:pPr>
        <w:pStyle w:val="a6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F34594" w:rsidRPr="00F34594" w:rsidRDefault="00F34594" w:rsidP="00F34594">
      <w:pPr>
        <w:pStyle w:val="a6"/>
        <w:widowControl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075A1" w:rsidRPr="00F34594" w:rsidRDefault="003075A1" w:rsidP="00F34594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F3459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КРИТЕРІЇ ОЦІНЮВАННЯ ЗНАНЬ ВСТУПНИКІВ</w:t>
      </w:r>
    </w:p>
    <w:p w:rsidR="00F63743" w:rsidRPr="001E7656" w:rsidRDefault="00F63743" w:rsidP="001E765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</w:pPr>
      <w:r w:rsidRPr="001E7656"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:rsidR="00CE3681" w:rsidRPr="0090156B" w:rsidRDefault="00D12C9A" w:rsidP="0090156B">
      <w:pPr>
        <w:pStyle w:val="FR1"/>
        <w:spacing w:after="0"/>
        <w:ind w:left="1080"/>
        <w:jc w:val="center"/>
        <w:rPr>
          <w:rFonts w:ascii="Times New Roman" w:hAnsi="Times New Roman" w:cs="Times New Roman"/>
          <w:i w:val="0"/>
          <w:color w:val="494949"/>
          <w:sz w:val="28"/>
          <w:szCs w:val="28"/>
        </w:rPr>
      </w:pPr>
      <w:r w:rsidRPr="0090156B">
        <w:rPr>
          <w:rFonts w:ascii="Times New Roman" w:hAnsi="Times New Roman" w:cs="Times New Roman"/>
          <w:i w:val="0"/>
          <w:color w:val="494949"/>
          <w:sz w:val="28"/>
          <w:szCs w:val="28"/>
        </w:rPr>
        <w:lastRenderedPageBreak/>
        <w:t>ВСТУП</w:t>
      </w:r>
    </w:p>
    <w:p w:rsidR="002C2807" w:rsidRPr="001B0A7D" w:rsidRDefault="002C2807" w:rsidP="001E7656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color w:val="494949"/>
          <w:sz w:val="28"/>
          <w:szCs w:val="28"/>
        </w:rPr>
      </w:pPr>
    </w:p>
    <w:p w:rsidR="002F7F0D" w:rsidRPr="0025429D" w:rsidRDefault="00006A2B" w:rsidP="00325C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Метою </w:t>
      </w:r>
      <w:r w:rsidRPr="0025429D">
        <w:rPr>
          <w:rFonts w:ascii="Times New Roman" w:eastAsia="Calibri" w:hAnsi="Times New Roman" w:cs="Times New Roman"/>
          <w:sz w:val="28"/>
          <w:szCs w:val="28"/>
        </w:rPr>
        <w:t xml:space="preserve">вступного іспиту 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Pr="0025429D">
        <w:rPr>
          <w:rFonts w:ascii="Times New Roman" w:eastAsia="Calibri" w:hAnsi="Times New Roman" w:cs="Times New Roman"/>
          <w:sz w:val="28"/>
          <w:szCs w:val="28"/>
        </w:rPr>
        <w:t xml:space="preserve">виявлення рівня підготовки вступників з 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теоретичних </w:t>
      </w:r>
      <w:r w:rsidRPr="0025429D">
        <w:rPr>
          <w:rFonts w:ascii="Times New Roman" w:eastAsia="Calibri" w:hAnsi="Times New Roman" w:cs="Times New Roman"/>
          <w:sz w:val="28"/>
          <w:szCs w:val="28"/>
        </w:rPr>
        <w:t xml:space="preserve">та прикладних питань менеджменту, а також їх знань у сфері </w:t>
      </w:r>
      <w:r w:rsidRPr="00006A2B">
        <w:rPr>
          <w:rFonts w:ascii="Times New Roman" w:eastAsia="Calibri" w:hAnsi="Times New Roman" w:cs="Times New Roman"/>
          <w:sz w:val="28"/>
          <w:szCs w:val="28"/>
        </w:rPr>
        <w:t>методологі</w:t>
      </w:r>
      <w:r w:rsidRPr="0025429D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наукових досліджень, необхідних для проведення високо результативної науково-дослідної, педагогічної та прикладної професійної 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>діяльності</w:t>
      </w:r>
      <w:r w:rsidRPr="00254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A2B">
        <w:rPr>
          <w:rFonts w:ascii="Times New Roman" w:eastAsia="Calibri" w:hAnsi="Times New Roman" w:cs="Times New Roman"/>
          <w:sz w:val="28"/>
          <w:szCs w:val="28"/>
        </w:rPr>
        <w:t>зі</w:t>
      </w:r>
      <w:r w:rsidRPr="0025429D">
        <w:rPr>
          <w:rFonts w:ascii="Times New Roman" w:eastAsia="Calibri" w:hAnsi="Times New Roman" w:cs="Times New Roman"/>
          <w:sz w:val="28"/>
          <w:szCs w:val="28"/>
        </w:rPr>
        <w:t xml:space="preserve"> спеціальності 073 «Менеджмент»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>.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A2B" w:rsidRPr="00006A2B" w:rsidRDefault="00006A2B" w:rsidP="00325C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2B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>а вступного іспиту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>включає систему освітніх компонентів, рівень засвоєння яких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 xml:space="preserve">свідчить про 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спроможність 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>вступників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 проводити самостійні та оригінальні дисертаційні дослідження, що спрямовані на розв’язання складних науково-прикладних проблем  у сфері управління та адміністрування.</w:t>
      </w:r>
    </w:p>
    <w:p w:rsidR="00006A2B" w:rsidRPr="00FC74BB" w:rsidRDefault="00743817" w:rsidP="00325C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2B">
        <w:rPr>
          <w:rFonts w:ascii="Times New Roman" w:eastAsia="Calibri" w:hAnsi="Times New Roman" w:cs="Times New Roman"/>
          <w:sz w:val="28"/>
          <w:szCs w:val="28"/>
        </w:rPr>
        <w:t>Програм</w:t>
      </w:r>
      <w:r w:rsidRPr="0025429D">
        <w:rPr>
          <w:rFonts w:ascii="Times New Roman" w:eastAsia="Calibri" w:hAnsi="Times New Roman" w:cs="Times New Roman"/>
          <w:sz w:val="28"/>
          <w:szCs w:val="28"/>
        </w:rPr>
        <w:t>а вступного іспиту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29D">
        <w:rPr>
          <w:rFonts w:ascii="Times New Roman" w:eastAsia="Calibri" w:hAnsi="Times New Roman" w:cs="Times New Roman"/>
          <w:sz w:val="28"/>
          <w:szCs w:val="28"/>
        </w:rPr>
        <w:t>ґрунтується</w:t>
      </w:r>
      <w:r w:rsidR="002F7F0D" w:rsidRPr="00254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29D">
        <w:rPr>
          <w:rFonts w:ascii="Times New Roman" w:hAnsi="Times New Roman" w:cs="Times New Roman"/>
          <w:sz w:val="28"/>
          <w:szCs w:val="28"/>
        </w:rPr>
        <w:t xml:space="preserve"> на змісті та обсягах навчальних дисциплін, </w:t>
      </w:r>
      <w:r w:rsidRPr="00FC74BB">
        <w:rPr>
          <w:rFonts w:ascii="Times New Roman" w:hAnsi="Times New Roman" w:cs="Times New Roman"/>
          <w:sz w:val="28"/>
          <w:szCs w:val="28"/>
        </w:rPr>
        <w:t xml:space="preserve">передбачених навчальними планами підготовки здобувачів  вищої освіти рівня магістра (спеціаліста) з спеціальності </w:t>
      </w:r>
      <w:r w:rsidRPr="00FC74BB">
        <w:rPr>
          <w:rFonts w:ascii="Times New Roman" w:eastAsia="Calibri" w:hAnsi="Times New Roman" w:cs="Times New Roman"/>
          <w:sz w:val="28"/>
          <w:szCs w:val="28"/>
        </w:rPr>
        <w:t>073 «Менеджмент».</w:t>
      </w:r>
      <w:r w:rsidRPr="00006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FAD" w:rsidRPr="005D2FAD" w:rsidRDefault="009D23AB" w:rsidP="00325CE7">
      <w:pPr>
        <w:pStyle w:val="FR1"/>
        <w:spacing w:after="0"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494949"/>
          <w:sz w:val="28"/>
          <w:szCs w:val="28"/>
        </w:rPr>
      </w:pPr>
      <w:r w:rsidRPr="00FC74BB">
        <w:rPr>
          <w:rFonts w:ascii="Times New Roman" w:hAnsi="Times New Roman" w:cs="Times New Roman"/>
          <w:b w:val="0"/>
          <w:i w:val="0"/>
          <w:sz w:val="28"/>
          <w:szCs w:val="28"/>
        </w:rPr>
        <w:t>Зміст</w:t>
      </w:r>
      <w:r w:rsidR="00FC74BB" w:rsidRPr="00FC74BB">
        <w:rPr>
          <w:rFonts w:ascii="Times New Roman" w:hAnsi="Times New Roman" w:cs="Times New Roman"/>
          <w:b w:val="0"/>
          <w:i w:val="0"/>
          <w:sz w:val="28"/>
          <w:szCs w:val="28"/>
        </w:rPr>
        <w:t>овними складовими програми вступного іспиту з спеціальності є розділи: «Ділове адміністрування», «Публічне адміністрування», «Фінансовий менеджмент»,</w:t>
      </w:r>
      <w:r w:rsidR="007C7EB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«Управління маркетинговою та зовнішньоекономічною діяльністю організацій»,</w:t>
      </w:r>
      <w:r w:rsidR="00FC74BB" w:rsidRPr="00FC74B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«Методологія наукових досліджень та інформаційні технології в менеджменті».</w:t>
      </w:r>
      <w:r w:rsidR="005D2FA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325CE7" w:rsidRDefault="00325CE7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9D23AB" w:rsidRPr="001E7656" w:rsidRDefault="00DE6A15" w:rsidP="009C4E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1</w:t>
      </w:r>
      <w:r w:rsidR="009C4EC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. </w:t>
      </w:r>
      <w:r w:rsidR="009C4EC4" w:rsidRPr="001E7656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ЗМІСТ ПРОГРАМИ ВСТУПНОГО ІСПИТУ ЗІ СПЕЦІАЛЬНОСТІ «МЕНЕДЖМЕНТ»</w:t>
      </w:r>
    </w:p>
    <w:p w:rsidR="00FC3F75" w:rsidRPr="00456FDD" w:rsidRDefault="00FC3F75" w:rsidP="00FC3F75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3F75" w:rsidRPr="00456FDD" w:rsidRDefault="00FC3F75" w:rsidP="00FC3F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FFFFF"/>
          <w:lang w:val="ru-RU"/>
        </w:rPr>
      </w:pPr>
    </w:p>
    <w:p w:rsidR="00FC3F75" w:rsidRPr="0090156B" w:rsidRDefault="0090156B" w:rsidP="009015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РОЗДІЛ</w:t>
      </w:r>
      <w:r w:rsidR="00FC3F75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1 ДІЛОВЕ АДМІНІСТРУВАННЯ</w:t>
      </w: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C3F75" w:rsidRPr="00FC3F75" w:rsidRDefault="00FC3F75" w:rsidP="00FC3F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FC3F75">
        <w:rPr>
          <w:rFonts w:ascii="Times New Roman" w:eastAsia="Calibri" w:hAnsi="Times New Roman" w:cs="Times New Roman"/>
          <w:b/>
          <w:sz w:val="28"/>
          <w:shd w:val="clear" w:color="auto" w:fill="FFFFFF"/>
        </w:rPr>
        <w:t>Менеджмент організації</w:t>
      </w:r>
    </w:p>
    <w:p w:rsidR="00FC3F75" w:rsidRPr="00FC3F75" w:rsidRDefault="00FC3F75" w:rsidP="00FC3F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Організація як складна система та як об'єкт управління. Характеристика основних підсистем організації. Моделі організації як відкритої системи. Життєвий цикл діяльності організації та стадії виникнення змін. </w:t>
      </w: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sz w:val="28"/>
          <w:szCs w:val="28"/>
        </w:rPr>
        <w:t>Методологія проектування системи ме</w:t>
      </w:r>
      <w:r w:rsidR="00456FDD">
        <w:rPr>
          <w:rFonts w:ascii="Times New Roman" w:eastAsia="Calibri" w:hAnsi="Times New Roman" w:cs="Times New Roman"/>
          <w:sz w:val="28"/>
          <w:szCs w:val="28"/>
        </w:rPr>
        <w:t>неджменту та управ</w:t>
      </w: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лінських процедур. </w:t>
      </w:r>
      <w:r w:rsidR="00073CA8" w:rsidRPr="00FC3F75">
        <w:rPr>
          <w:rFonts w:ascii="Times New Roman" w:eastAsia="Calibri" w:hAnsi="Times New Roman" w:cs="Times New Roman"/>
          <w:sz w:val="28"/>
          <w:szCs w:val="28"/>
        </w:rPr>
        <w:t xml:space="preserve">Поєднання функціонального, </w:t>
      </w:r>
      <w:r w:rsidR="0007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CA8" w:rsidRPr="00FC3F75">
        <w:rPr>
          <w:rFonts w:ascii="Times New Roman" w:eastAsia="Calibri" w:hAnsi="Times New Roman" w:cs="Times New Roman"/>
          <w:sz w:val="28"/>
          <w:szCs w:val="28"/>
        </w:rPr>
        <w:t>процесного та ситуаційного підходів</w:t>
      </w:r>
      <w:r w:rsidR="00073CA8" w:rsidRPr="00456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CA8" w:rsidRPr="00FC3F75">
        <w:rPr>
          <w:rFonts w:ascii="Times New Roman" w:eastAsia="Calibri" w:hAnsi="Times New Roman" w:cs="Times New Roman"/>
          <w:sz w:val="28"/>
          <w:szCs w:val="28"/>
        </w:rPr>
        <w:t xml:space="preserve">до управління організаційними процесами. </w:t>
      </w: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Проектування складу структурних одиниць. </w:t>
      </w:r>
      <w:r w:rsidR="00073CA8" w:rsidRPr="00FC3F75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Нормативно-правова регламентація організації управління. </w:t>
      </w: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Модель управління як </w:t>
      </w:r>
      <w:proofErr w:type="spellStart"/>
      <w:r w:rsidRPr="00FC3F75">
        <w:rPr>
          <w:rFonts w:ascii="Times New Roman" w:eastAsia="Calibri" w:hAnsi="Times New Roman" w:cs="Times New Roman"/>
          <w:sz w:val="28"/>
          <w:szCs w:val="28"/>
        </w:rPr>
        <w:t>системоутворювальний</w:t>
      </w:r>
      <w:proofErr w:type="spellEnd"/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 комплекс методів, набору форм впливу, принципів. Компоненти управлінських моделей. Різновиди управлінських моделей. Комбінація управлінських моделей.</w:t>
      </w: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F75">
        <w:rPr>
          <w:rFonts w:ascii="Times New Roman" w:eastAsia="Calibri" w:hAnsi="Times New Roman" w:cs="Times New Roman"/>
          <w:sz w:val="28"/>
          <w:szCs w:val="28"/>
        </w:rPr>
        <w:t>Завдання менеджера щодо керівництва в організації. Техніка і форми передачі розпоряджен</w:t>
      </w:r>
      <w:r w:rsidR="00456FDD">
        <w:rPr>
          <w:rFonts w:ascii="Times New Roman" w:eastAsia="Calibri" w:hAnsi="Times New Roman" w:cs="Times New Roman"/>
          <w:sz w:val="28"/>
          <w:szCs w:val="28"/>
        </w:rPr>
        <w:t>ь. Критерії оці</w:t>
      </w: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нювання виконання. Процес управління дисципліною. Типові порушення та їх причини. Застосування системи стягнень та заохочень. </w:t>
      </w: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Сутність та особливості управлінського ризику. Зовнішні та внутрішні фактори управлінського ризику. Аналіз та оцінювання ризику. Концепція управління ризиком. Критерії </w:t>
      </w:r>
      <w:proofErr w:type="spellStart"/>
      <w:r w:rsidRPr="00FC3F75">
        <w:rPr>
          <w:rFonts w:ascii="Times New Roman" w:eastAsia="Calibri" w:hAnsi="Times New Roman" w:cs="Times New Roman"/>
          <w:sz w:val="28"/>
          <w:szCs w:val="28"/>
        </w:rPr>
        <w:t>ризикозахищеності</w:t>
      </w:r>
      <w:proofErr w:type="spellEnd"/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 організації.</w:t>
      </w: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sz w:val="28"/>
          <w:szCs w:val="28"/>
        </w:rPr>
        <w:t>Система показників оцінювання результативності і якості менеджменту організації.</w:t>
      </w:r>
    </w:p>
    <w:p w:rsidR="00FC3F75" w:rsidRPr="00FC3F75" w:rsidRDefault="00FC3F75" w:rsidP="00FC3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D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Основні поняття:</w:t>
      </w:r>
      <w:r w:rsidRPr="00FC3F7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56FDD">
        <w:rPr>
          <w:rFonts w:ascii="Times New Roman" w:eastAsia="Calibri" w:hAnsi="Times New Roman" w:cs="Times New Roman"/>
          <w:sz w:val="28"/>
          <w:szCs w:val="28"/>
        </w:rPr>
        <w:t xml:space="preserve">організація, система, </w:t>
      </w:r>
      <w:r w:rsidRPr="00FC3F75">
        <w:rPr>
          <w:rFonts w:ascii="Times New Roman" w:eastAsia="Calibri" w:hAnsi="Times New Roman" w:cs="Times New Roman"/>
          <w:sz w:val="28"/>
          <w:szCs w:val="28"/>
        </w:rPr>
        <w:t>підсистема, об'єкт управління, життєвий цикл організації, регламентація, проектув</w:t>
      </w:r>
      <w:r w:rsidR="00536083">
        <w:rPr>
          <w:rFonts w:ascii="Times New Roman" w:eastAsia="Calibri" w:hAnsi="Times New Roman" w:cs="Times New Roman"/>
          <w:sz w:val="28"/>
          <w:szCs w:val="28"/>
        </w:rPr>
        <w:t>ання системи менеджменту, управ</w:t>
      </w:r>
      <w:r w:rsidRPr="00FC3F75">
        <w:rPr>
          <w:rFonts w:ascii="Times New Roman" w:eastAsia="Calibri" w:hAnsi="Times New Roman" w:cs="Times New Roman"/>
          <w:sz w:val="28"/>
          <w:szCs w:val="28"/>
        </w:rPr>
        <w:t>лінські процедури, структурні одиниці, організаційно-управлінський анал</w:t>
      </w:r>
      <w:r w:rsidR="00456FDD">
        <w:rPr>
          <w:rFonts w:ascii="Times New Roman" w:eastAsia="Calibri" w:hAnsi="Times New Roman" w:cs="Times New Roman"/>
          <w:sz w:val="28"/>
          <w:szCs w:val="28"/>
        </w:rPr>
        <w:t>із,. організаційний інжиніринг,</w:t>
      </w: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 організаційний дизайн, уп</w:t>
      </w:r>
      <w:r w:rsidR="00456FDD">
        <w:rPr>
          <w:rFonts w:ascii="Times New Roman" w:eastAsia="Calibri" w:hAnsi="Times New Roman" w:cs="Times New Roman"/>
          <w:sz w:val="28"/>
          <w:szCs w:val="28"/>
        </w:rPr>
        <w:t>равлінські моделі, керівництво,</w:t>
      </w: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 розпорядження, доручення, виконання </w:t>
      </w:r>
      <w:r w:rsidR="00456FDD">
        <w:rPr>
          <w:rFonts w:ascii="Times New Roman" w:eastAsia="Calibri" w:hAnsi="Times New Roman" w:cs="Times New Roman"/>
          <w:sz w:val="28"/>
          <w:szCs w:val="28"/>
        </w:rPr>
        <w:t>завдань, делегування, оці</w:t>
      </w:r>
      <w:r w:rsidRPr="00FC3F75">
        <w:rPr>
          <w:rFonts w:ascii="Times New Roman" w:eastAsia="Calibri" w:hAnsi="Times New Roman" w:cs="Times New Roman"/>
          <w:sz w:val="28"/>
          <w:szCs w:val="28"/>
        </w:rPr>
        <w:t>нювання виконання, управління дисципліною, управлінський ризик, результативність менеджменту організації.</w:t>
      </w:r>
    </w:p>
    <w:p w:rsidR="00456FDD" w:rsidRDefault="00456FDD" w:rsidP="00FC3F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F75" w:rsidRPr="00FC3F75" w:rsidRDefault="00FC3F75" w:rsidP="00FC3F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FC3F75">
        <w:rPr>
          <w:rFonts w:ascii="Times New Roman" w:eastAsia="Calibri" w:hAnsi="Times New Roman" w:cs="Times New Roman"/>
          <w:b/>
          <w:sz w:val="28"/>
          <w:shd w:val="clear" w:color="auto" w:fill="FFFFFF"/>
        </w:rPr>
        <w:t>Управління проектами та змінами</w:t>
      </w: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Мета, завдання, предмет та об'єкт </w:t>
      </w:r>
      <w:r w:rsidR="0090156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управлін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ня проектами. Види проектів, ї</w:t>
      </w:r>
      <w:r w:rsidR="00456FDD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х характеристика. Учасники прое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кту. Фази життєвого циклу проекту.</w:t>
      </w: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lastRenderedPageBreak/>
        <w:t>Етапи управління проектами. Функції управління проектами. Види проектного аналізу. Формування бюджету проекту. Оцінка ефективності інвестиційних проектів. Організація проектного планування. Компоненти структуризації проекту.</w:t>
      </w: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Роль і функції менеджера проекту. Команда проекту. Мотивація команди проекту. </w:t>
      </w:r>
    </w:p>
    <w:p w:rsidR="00FC3F75" w:rsidRPr="00BD2AF8" w:rsidRDefault="00FC3F75" w:rsidP="00BD2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</w:pP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Сутність т</w:t>
      </w:r>
      <w:r w:rsidR="00456FDD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а види проектних ризиків. Форму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вання програм реагування на ризик. Система управління якістю проекту. </w:t>
      </w:r>
    </w:p>
    <w:p w:rsidR="00FC3F75" w:rsidRPr="00456FDD" w:rsidRDefault="00FC3F75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Моделі та підходи до організаційних змін. </w:t>
      </w:r>
      <w:r w:rsidRPr="00FC3F75">
        <w:rPr>
          <w:rFonts w:ascii="Times New Roman" w:eastAsia="Calibri" w:hAnsi="Times New Roman" w:cs="Times New Roman"/>
          <w:sz w:val="28"/>
          <w:szCs w:val="28"/>
        </w:rPr>
        <w:t xml:space="preserve">Управління процесами змін. 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Моделі організаційних перетворень. Основні принципи успішної зміни корпоративної культури. Процес здійснення </w:t>
      </w:r>
      <w:proofErr w:type="spellStart"/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ребрендінгу</w:t>
      </w:r>
      <w:proofErr w:type="spellEnd"/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D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Основні поняття:</w:t>
      </w:r>
      <w:r w:rsidR="00456FDD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проект,  управлін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ня проектами, у</w:t>
      </w:r>
      <w:r w:rsidR="0090156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часники прое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кту, життєвий цикл проекту, проектний аналіз, бюджет проекту, ефективність проекту, проектне планування, структуризація проекту, менеджер проекту, команда проекту, проектний ризик, організаційні зміни, у</w:t>
      </w:r>
      <w:r w:rsidRPr="00FC3F75">
        <w:rPr>
          <w:rFonts w:ascii="Times New Roman" w:eastAsia="Calibri" w:hAnsi="Times New Roman" w:cs="Times New Roman"/>
          <w:sz w:val="28"/>
          <w:szCs w:val="28"/>
        </w:rPr>
        <w:t>правління процесами змін,</w:t>
      </w:r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організаційні перетворення,  </w:t>
      </w:r>
      <w:proofErr w:type="spellStart"/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ребрендінг</w:t>
      </w:r>
      <w:proofErr w:type="spellEnd"/>
      <w:r w:rsidRPr="00FC3F75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:rsidR="00737426" w:rsidRDefault="00737426" w:rsidP="00FC3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Корпоративне управління</w:t>
      </w:r>
    </w:p>
    <w:p w:rsidR="00FC3F75" w:rsidRPr="00FC3F75" w:rsidRDefault="00FC3F75" w:rsidP="0073742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Calibri" w:hAnsi="Times New Roman" w:cs="Times New Roman"/>
          <w:sz w:val="28"/>
          <w:szCs w:val="28"/>
          <w:lang w:eastAsia="ru-RU"/>
        </w:rPr>
        <w:t>Передумови виникнення корпоративної форми організації бізнесу. Сутність корпоративного управління. Особливості зовніш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нього середо</w:t>
      </w:r>
      <w:r w:rsidRPr="00FC3F7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ища функціонування корпорацій. </w:t>
      </w:r>
      <w:r w:rsidRPr="00FC3F75">
        <w:rPr>
          <w:rFonts w:ascii="Times New Roman" w:eastAsia="Calibri" w:hAnsi="Times New Roman" w:cs="Times New Roman"/>
          <w:sz w:val="28"/>
          <w:szCs w:val="28"/>
          <w:lang w:eastAsia="ru-RU"/>
        </w:rPr>
        <w:t>Акціонерне товариство як об’єкт корпоративного управління. Організаційний механізм управління корпорацією. Економічний механізм управління корпорацією. Управління корпоративним капіталом. Корпоративний контроль. Управління державними корпоративними правами.</w:t>
      </w:r>
    </w:p>
    <w:p w:rsidR="00FC3F75" w:rsidRPr="00FC3F75" w:rsidRDefault="00FC3F75" w:rsidP="00FC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0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Основні поняття:</w:t>
      </w:r>
      <w:r w:rsidRPr="00FC3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корпорація, корпоративне управління, акціонерне товариство, органи управління акціонерним товариством, фонди акціонерного</w:t>
      </w:r>
      <w:r w:rsidR="00325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F75">
        <w:rPr>
          <w:rFonts w:ascii="Times New Roman" w:eastAsia="Calibri" w:hAnsi="Times New Roman" w:cs="Times New Roman"/>
          <w:sz w:val="28"/>
          <w:szCs w:val="28"/>
          <w:lang w:eastAsia="ru-RU"/>
        </w:rPr>
        <w:t>тов</w:t>
      </w:r>
      <w:r w:rsidR="00325CE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C3F75">
        <w:rPr>
          <w:rFonts w:ascii="Times New Roman" w:eastAsia="Calibri" w:hAnsi="Times New Roman" w:cs="Times New Roman"/>
          <w:sz w:val="28"/>
          <w:szCs w:val="28"/>
          <w:lang w:eastAsia="ru-RU"/>
        </w:rPr>
        <w:t>риства, кодекс корпоративної поведінки</w:t>
      </w:r>
    </w:p>
    <w:p w:rsidR="00FC3F75" w:rsidRPr="00FC3F75" w:rsidRDefault="00FC3F75" w:rsidP="00DE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75" w:rsidRPr="00FC3F75" w:rsidRDefault="008E4F31" w:rsidP="000D5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РОЗДІЛ 2 </w:t>
      </w:r>
      <w:r w:rsidR="00FC3F75" w:rsidRPr="00FC3F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ПУБЛІЧНЕ АДМІНІСТРУВАННЯ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підходи до розуміння публічного адміністрування та його еволюція. Сутнісні характеристики громадянського суспільства. Місце і роль громадських організацій у публічному адмініструванні. Механізм взаємодії влади та публічного адміністрування. 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фактори формування місцевого самоврядування. Представницькі та виконавчі органи місцевого самоврядування. Інститути безпосередньої демократії в місцевому самоврядуванні. 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Структура органів публічного адміністрування. Методи публічного адміністрування. Сучасні підходи в оцінюванні бюрократії. Фактори запобігання проявам корупції. </w:t>
      </w:r>
      <w:r w:rsidR="00DE6A1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результативності </w:t>
      </w:r>
      <w:r w:rsidR="003F66E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публічного адмініст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рування. 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Держава як гарант соціальної спрямованості ринкової економіки. Публічне адміністрування у сфері науки, культури та мистецтва. Принципи оцінювання ефективності реалізації соціальної політики.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напрями державного регулювання економіки. Держава як гарант забезпечення умов для підприємницької діяльності. Управління власністю в умо</w:t>
      </w:r>
      <w:r w:rsidR="00103DD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вах демократичної, правової дер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жави. 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органів державної влади та місцевого самоврядування. Відповідальність недержавних організацій, органів і осіб, які не перебувають на державній службі ч</w:t>
      </w:r>
      <w:r w:rsidR="00103DD6">
        <w:rPr>
          <w:rFonts w:ascii="Times New Roman" w:eastAsia="Times New Roman" w:hAnsi="Times New Roman" w:cs="Times New Roman"/>
          <w:sz w:val="28"/>
          <w:szCs w:val="28"/>
          <w:lang w:eastAsia="uk-UA"/>
        </w:rPr>
        <w:t>и службі в органах місцевого са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моврядування, за правопорушення у сфері публічного адміністрування.</w:t>
      </w:r>
    </w:p>
    <w:p w:rsidR="00FC3F75" w:rsidRPr="00FC3F75" w:rsidRDefault="00FC3F75" w:rsidP="00FC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Основні поняття: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публічне адміністрування, громадянське суспільство, громадська організація, влада, місцеве самоврядування, демократія, бюрократія, корупція, резул</w:t>
      </w:r>
      <w:r w:rsidR="00103DD6">
        <w:rPr>
          <w:rFonts w:ascii="Times New Roman" w:eastAsia="Times New Roman" w:hAnsi="Times New Roman" w:cs="Times New Roman"/>
          <w:sz w:val="28"/>
          <w:szCs w:val="28"/>
          <w:lang w:eastAsia="uk-UA"/>
        </w:rPr>
        <w:t>ьтативність публічного адмініст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рування, ефективність публічного адміністрування, соціальна політика, державне регулювання економіки, відповідальність державних органів, відповідальність недержавних організацій.</w:t>
      </w:r>
    </w:p>
    <w:p w:rsidR="00FC3F75" w:rsidRPr="009606AE" w:rsidRDefault="00FC3F75" w:rsidP="005360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2AF8" w:rsidRPr="00FC3F75" w:rsidRDefault="000D5511" w:rsidP="000D55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РОЗДІЛ 3 </w:t>
      </w:r>
      <w:r w:rsidR="00BD2AF8" w:rsidRPr="00FC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ФІНАНСОВИЙ МЕНЕДЖМЕНТ</w:t>
      </w:r>
    </w:p>
    <w:p w:rsidR="00BD2AF8" w:rsidRPr="00FC3F75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F8" w:rsidRPr="00FC3F75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Суть, мета та завдання фінансового менеджменту. Принципи фінансового менеджменту. Функції фінансового менеджменту. Механізм фінансового менеджменту. </w:t>
      </w:r>
    </w:p>
    <w:p w:rsidR="00BD2AF8" w:rsidRPr="00FC3F75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Економічна сутність і класифікація активів підприємства. Принципи формування активів підприємства. Політика управління оборотними активами підприємства. Управління оновленням необоротних активів підприємства. </w:t>
      </w:r>
    </w:p>
    <w:p w:rsidR="00BD2AF8" w:rsidRPr="00FC3F75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Економічна сутність і класифікація капіталу підприємства. Формування ефекту фінансового левериджу. Політика залучення позикових засобів. Оцінка вартості окремих елементів позикового капіталу. Управління залученням банківського кредиту. </w:t>
      </w:r>
    </w:p>
    <w:p w:rsidR="00BD2AF8" w:rsidRPr="00FC3F75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реальними інвестиціями. Методи оптимізації грошових потоків. Процес управління грошовими потоками. </w:t>
      </w:r>
    </w:p>
    <w:p w:rsidR="00BD2AF8" w:rsidRPr="00FC3F75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Політика управління фінансовими ризиками. Внутрішні механізми нейтралізації фінансових ризиків. Політика антикризового фінансового регулювання при загрозі банкрутства. Внутрішні механізми фінансової стабілізації. Сутність і форми санації підприємства. </w:t>
      </w:r>
    </w:p>
    <w:p w:rsidR="00BD2AF8" w:rsidRDefault="00BD2AF8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поняття:</w:t>
      </w: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фінансовий менеджмент, управління активами, управління капіталом , фінансовий леверидж, банківський кредит, управління реальними інвестиціями, оптимізація грошових потоків, управління фінансовими ризиками, антикризове фінансове управління, банкрутство, санація підприємства. </w:t>
      </w:r>
    </w:p>
    <w:p w:rsidR="007C7EB3" w:rsidRPr="00FC3F75" w:rsidRDefault="007C7EB3" w:rsidP="00BD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F5" w:rsidRDefault="00991FF5" w:rsidP="007C7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B3" w:rsidRDefault="007C7EB3" w:rsidP="007C7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РОЗДІЛ 4 УПРАВЛІННЯ МАРКЕТИНГОВОЮ ТА ЗОВНІШНЬОЕКОНОМІЧНОЮ ДІЯЛЬНІСТЮ ОРГАНІЗАЦІЙ</w:t>
      </w:r>
    </w:p>
    <w:p w:rsidR="007C7EB3" w:rsidRDefault="007C7EB3" w:rsidP="007C7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7C7EB3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процесу управління маркетингом. Формування маркетингової служби організаційної системи. Фактори, які визначають завдання, структуру, функції, права і відповідальність маркетингової служби.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 побудови відділу маркетингу. </w:t>
      </w:r>
    </w:p>
    <w:p w:rsidR="007C7EB3" w:rsidRPr="00AB26BB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маркетингових стратегій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мування маркетингових стратегій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>. SWOT - аналіз сильних і слабких сторін підприємства, його можливостей та небезпек.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маркетингових стратегій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EB3" w:rsidRPr="00AB26BB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конкурентоспроможністю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підходи до оцінки конкурентоспроможності підприємства. </w:t>
      </w:r>
    </w:p>
    <w:p w:rsidR="007C7EB3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принципи 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зовнішньоекономічної діяльності (ЗЕД).</w:t>
      </w: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Стратегічне і тактичне </w:t>
      </w:r>
      <w:r w:rsidRPr="0095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ЗЕД. Побудова організаційних структур управління підприємств, орієнтованих на ЗЕД. </w:t>
      </w:r>
      <w:r w:rsidRPr="0095440F">
        <w:rPr>
          <w:rFonts w:ascii="Times New Roman" w:hAnsi="Times New Roman" w:cs="Times New Roman"/>
          <w:sz w:val="28"/>
          <w:szCs w:val="28"/>
        </w:rPr>
        <w:t>Управління діяльністю транснаціональних компаній (ТНК</w:t>
      </w:r>
      <w:r w:rsidRPr="007C7EB3">
        <w:rPr>
          <w:rFonts w:ascii="Times New Roman" w:hAnsi="Times New Roman" w:cs="Times New Roman"/>
          <w:sz w:val="28"/>
          <w:szCs w:val="28"/>
        </w:rPr>
        <w:t>).</w:t>
      </w:r>
    </w:p>
    <w:p w:rsidR="007C7EB3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регулювання зовнішньоекономічної діяльності в Україні. Митно-тарифне регулювання зовнішньоекономічної діяльності. Нетарифне регулювання зовнішньоекономічної діяльності.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Валютне регулювання.</w:t>
      </w:r>
      <w:r w:rsidR="0022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іноземних інвестицій.</w:t>
      </w:r>
    </w:p>
    <w:p w:rsidR="007C7EB3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Діагностування ефективності здійснення ЗЕД. Економічний аналіз зовнішньоекономічної діяльності підприємства. </w:t>
      </w:r>
    </w:p>
    <w:p w:rsidR="007C7EB3" w:rsidRPr="0022465B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0D5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поняття:</w:t>
      </w:r>
      <w:r w:rsidR="0022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маркетинг, управління маркетингом, комплекс маркетингу, маркетингові стратегії, конкурентоспроможність підприємства,  зовнішньоекономічна діяльність, </w:t>
      </w:r>
      <w:r w:rsidR="00450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тарифне регулювання, нетарифне регулювання, валютне регулювання, іноземні інвестиції.</w:t>
      </w:r>
    </w:p>
    <w:p w:rsidR="00BD2AF8" w:rsidRDefault="00BD2AF8" w:rsidP="00DE6A15">
      <w:pPr>
        <w:spacing w:after="0" w:line="276" w:lineRule="auto"/>
        <w:rPr>
          <w:rFonts w:ascii="Times New Roman" w:eastAsia="Calibri" w:hAnsi="Times New Roman" w:cs="Times New Roman"/>
          <w:sz w:val="28"/>
          <w:szCs w:val="26"/>
        </w:rPr>
      </w:pPr>
    </w:p>
    <w:p w:rsidR="00737426" w:rsidRDefault="00575202" w:rsidP="0073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 w:rsidR="007C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426" w:rsidRPr="0073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МЕТОДОЛОГІЯ НАУКОВИХ ДОСЛІДЖЕНЬ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ІНФОРМАЦІЙНІ ТЕХНОЛОГІЇ В МЕНЕДЖМЕНТІ</w:t>
      </w:r>
    </w:p>
    <w:p w:rsidR="00C63FAD" w:rsidRPr="00737426" w:rsidRDefault="00C63FAD" w:rsidP="0073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AD" w:rsidRPr="00536083" w:rsidRDefault="00737426" w:rsidP="00C63F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методичні питання та планування наукових досліджень. Системний підхід і факторний аналіз у наукових економічних дослідженнях. Блок-схема дослідження. Класифікація методів наукових досліджень за універсальністю використання. Підсистема інформації про об’єкт дослідження. Моделювання у наукових дослідженнях. Монографічний метод в економічних дослідженнях та комплексно-функціональний аналіз. Економіко-статистичний метод дослідження та його прийоми. Групування та класифікації у наукових економічних дослідженнях. Методи вивчення вза</w:t>
      </w:r>
      <w:r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ємозв’язків економічних явищ і процесів. Розрахунково-конструктивний метод дослідження, його характеристика та прийоми. Економіко-математичний метод, його прийоми та роль в сучасних наукових дослідженнях. Аналіз тенденцій та прийоми прогнозування розвитку економічних явищ і процесів. Апробація та впровадження результатів наукових досліджень. </w:t>
      </w:r>
    </w:p>
    <w:p w:rsidR="00FC3F75" w:rsidRPr="00536083" w:rsidRDefault="00FC3F75" w:rsidP="00C63F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3">
        <w:rPr>
          <w:rFonts w:ascii="Times New Roman" w:eastAsia="Calibri" w:hAnsi="Times New Roman" w:cs="Times New Roman"/>
          <w:sz w:val="28"/>
          <w:szCs w:val="28"/>
        </w:rPr>
        <w:lastRenderedPageBreak/>
        <w:t>Інформаційні системи і технології в управлінні організацією</w:t>
      </w:r>
      <w:r w:rsidR="00575202" w:rsidRPr="00536083">
        <w:rPr>
          <w:rFonts w:ascii="Times New Roman" w:eastAsia="Calibri" w:hAnsi="Times New Roman" w:cs="Times New Roman"/>
          <w:sz w:val="28"/>
          <w:szCs w:val="28"/>
        </w:rPr>
        <w:t>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Методи і засоби захисту інформації в управлінських інформаційних системах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 xml:space="preserve">Класифікація інформаційних систем управління </w:t>
      </w:r>
      <w:r w:rsidR="00575202" w:rsidRPr="00536083">
        <w:rPr>
          <w:rFonts w:ascii="Times New Roman" w:eastAsia="Times New Roman" w:hAnsi="Times New Roman" w:cs="Times New Roman"/>
          <w:sz w:val="28"/>
          <w:szCs w:val="28"/>
        </w:rPr>
        <w:t>підприємством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Сутність і компоненти системи підтримки прийняття рішень.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Застосування Інтранету сучасними компаніями; комунікації та співробітництво, управління бізнес-операціями.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Використання технологій штучного інтелекту в управлінні організацією.</w:t>
      </w:r>
      <w:r w:rsidR="008F1680" w:rsidRPr="0053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 xml:space="preserve">Експертні системи та  їх характеристика. </w:t>
      </w:r>
      <w:r w:rsidRPr="005360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Основні функції системи.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Аналіз сучасних корпоративних інформаційних систем, які пропонуються на ринку програмного забезпечення.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</w:rPr>
        <w:t>Застосування електронної ко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мерції у практичній діяльності підприємства.</w:t>
      </w:r>
      <w:r w:rsidR="00C63FAD" w:rsidRPr="005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3">
        <w:rPr>
          <w:rFonts w:ascii="Times New Roman" w:eastAsia="Times New Roman" w:hAnsi="Times New Roman" w:cs="Times New Roman"/>
          <w:sz w:val="28"/>
          <w:szCs w:val="28"/>
        </w:rPr>
        <w:t>Застосування автоматизованих систем обробки інформації для аналізу роботи підприємств.</w:t>
      </w:r>
    </w:p>
    <w:p w:rsidR="009D23AB" w:rsidRPr="00CA7284" w:rsidRDefault="003816B2" w:rsidP="003816B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0D5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поняття:</w:t>
      </w:r>
      <w:r w:rsidR="00CA7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A7284" w:rsidRPr="00CA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Категорії, принципи, теорії, парадигми, гіпотези</w:t>
      </w:r>
      <w:r w:rsidR="00CA7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наукові проблеми, об’єкт дослідження, предмет дослідження, емпірична база, методологія, метод, загальні (філософські) методи, теоретичні методи, емпіричні методи, специфічні методи, інформаційні системи і технології.</w:t>
      </w:r>
      <w:bookmarkStart w:id="0" w:name="_GoBack"/>
      <w:bookmarkEnd w:id="0"/>
    </w:p>
    <w:p w:rsidR="00274A33" w:rsidRDefault="00274A33" w:rsidP="001E7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0B1EA6" w:rsidRDefault="00325CE7" w:rsidP="001E7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2</w:t>
      </w:r>
      <w:r w:rsidR="000D2E09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. СПИСОК РЕКОМЕНДОВАНОЇ ЛІТЕРАТУРИ </w:t>
      </w:r>
    </w:p>
    <w:p w:rsidR="00456FDD" w:rsidRDefault="00456FDD" w:rsidP="00167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D" w:rsidRPr="00456FDD" w:rsidRDefault="00456FDD" w:rsidP="00456F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FDD">
        <w:rPr>
          <w:rFonts w:ascii="Times New Roman" w:eastAsia="Calibri" w:hAnsi="Times New Roman" w:cs="Times New Roman"/>
          <w:b/>
          <w:sz w:val="28"/>
          <w:szCs w:val="28"/>
        </w:rPr>
        <w:t>До розділу 1</w:t>
      </w:r>
    </w:p>
    <w:p w:rsidR="00456FDD" w:rsidRPr="00FC3F75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C3F75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Виноградський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 М. Д. Менеджмент організації :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навч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посіб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. для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студ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екон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>. спец. вузів / М. Д.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Виноградський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, А. М.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Виноградська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>, О. М.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Шканова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>. – К. : Кондор, 2002. – 654 с.</w:t>
      </w:r>
    </w:p>
    <w:p w:rsidR="00456FDD" w:rsidRPr="00FC3F75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C3F75"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Осовська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 Г. В.  Менеджмент організацій : підручник. / Г. В.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Осовська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, О. А.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Осовський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 – К. : Кондор, 2009. – 680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Шморгун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 Л. Г. Менеджмент організацій :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навч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посіб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. / </w:t>
      </w:r>
      <w:proofErr w:type="spellStart"/>
      <w:r w:rsidRPr="00FC3F75">
        <w:rPr>
          <w:rFonts w:ascii="Times New Roman" w:eastAsia="Calibri" w:hAnsi="Times New Roman" w:cs="Times New Roman"/>
          <w:sz w:val="28"/>
        </w:rPr>
        <w:t>Шморгун</w:t>
      </w:r>
      <w:proofErr w:type="spellEnd"/>
      <w:r w:rsidRPr="00FC3F75">
        <w:rPr>
          <w:rFonts w:ascii="Times New Roman" w:eastAsia="Calibri" w:hAnsi="Times New Roman" w:cs="Times New Roman"/>
          <w:sz w:val="28"/>
        </w:rPr>
        <w:t xml:space="preserve"> Л. Г. – К. : Знання, 2010. – 452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Петренко Н. О. Управління проектами: навчальний посібник. / Н. О. Петренко, Л. О.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Кустріч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, М. О.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Гоменюк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>. – К. : Центр учбової літератури, 2015. – 244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Управління проектами: Підручник / За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. ред. Л. В.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Ноздріної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>. — К.: Центр учбової літератури, 2010. — 432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Фесенко Т. Г. Управління проектами: теорія та практика виконання проектних дій: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>. посібник / Т. Г. Фесенко. – Х. : ХНАМГ, 2012. – 181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Шевченко І.Б. Управління змінами: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>. посібник для студентів вищих навчальних закладів /І.Б.Шевченко – Київ: НТУУ «КПІ» Політехніка, 2015. – 231с.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456FDD">
        <w:rPr>
          <w:rFonts w:ascii="Times New Roman" w:eastAsia="Calibri" w:hAnsi="Times New Roman" w:cs="Times New Roman"/>
          <w:sz w:val="28"/>
          <w:szCs w:val="28"/>
        </w:rPr>
        <w:t>Довгань Л.Є. Корпоративне управління: Навчальний посібник. / Л.Є.Довгань, В.В.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Пастухова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>, Л.М.Савчук. – К.: Кондор, 2007. – 176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456FDD">
        <w:rPr>
          <w:rFonts w:ascii="Times New Roman" w:eastAsia="Calibri" w:hAnsi="Times New Roman" w:cs="Times New Roman"/>
          <w:sz w:val="28"/>
          <w:szCs w:val="28"/>
        </w:rPr>
        <w:t>Задихайло Д.В. Корпоративне управління: Навчальний посібник. / Д.В.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Задихайло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, О.Р.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Кібенко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, Г.В.Назарова. - Харків: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Еспада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>, 2003. - 688 с.</w:t>
      </w:r>
    </w:p>
    <w:p w:rsidR="00456FDD" w:rsidRDefault="00456FDD" w:rsidP="00456F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Ігнатьєва І.А. Корпоративне управління: підручник. / І.А.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Ігнатьєва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, О.І. </w:t>
      </w:r>
      <w:proofErr w:type="spellStart"/>
      <w:r w:rsidRPr="00456FDD">
        <w:rPr>
          <w:rFonts w:ascii="Times New Roman" w:eastAsia="Calibri" w:hAnsi="Times New Roman" w:cs="Times New Roman"/>
          <w:sz w:val="28"/>
          <w:szCs w:val="28"/>
        </w:rPr>
        <w:t>Гарафонова</w:t>
      </w:r>
      <w:proofErr w:type="spellEnd"/>
      <w:r w:rsidRPr="00456FDD">
        <w:rPr>
          <w:rFonts w:ascii="Times New Roman" w:eastAsia="Calibri" w:hAnsi="Times New Roman" w:cs="Times New Roman"/>
          <w:sz w:val="28"/>
          <w:szCs w:val="28"/>
        </w:rPr>
        <w:t xml:space="preserve"> //Київ. нац. ун-т технологій та дизайну.- К.: Центр учбової літератури, 2013. - 600 с.</w:t>
      </w:r>
    </w:p>
    <w:p w:rsidR="00103DD6" w:rsidRPr="00456FDD" w:rsidRDefault="00103DD6" w:rsidP="00103D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 розділу 2</w:t>
      </w:r>
    </w:p>
    <w:p w:rsidR="00103DD6" w:rsidRPr="00FC3F75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3DD6" w:rsidRPr="00FC3F75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Адміністративне право України: Підручник / За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ред. С.В. Ківалова. – Одеса: Юридична література, 2013. – 896 с.</w:t>
      </w:r>
    </w:p>
    <w:p w:rsidR="00103DD6" w:rsidRPr="00FC3F75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Публічне управління : теорія та практика : збірник наукових праць Асоціації докторів наук з державного управління. – Х. : Вид-во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“ДокНаукДержУпр”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Спеціальний випуск – Червень, 2013. – 272 с. </w:t>
      </w:r>
    </w:p>
    <w:p w:rsidR="00103DD6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Ястремська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М.Я 85 Публічне адміністрування : навчальний посібник / О. М.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Ястремська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Л. О.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Мажник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Х. : ХНЕУ ім. С.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Кузнеця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uk-UA"/>
        </w:rPr>
        <w:t>, 2015. – 132 с.</w:t>
      </w:r>
    </w:p>
    <w:p w:rsidR="00103DD6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Дзюндзюк В.Б. Публічне адміністрування в Україні: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посібн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 /В.Б.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Дзюндзюк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, Н.Н.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Мельтюхова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 та ін. // - Харків :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ХарРІДУ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НАДУ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, «Магістр», 2011. – 306 с.</w:t>
      </w:r>
    </w:p>
    <w:p w:rsidR="00103DD6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FC3F75" w:rsidRPr="00FC3F75">
        <w:rPr>
          <w:rFonts w:ascii="Times New Roman" w:eastAsia="Calibri" w:hAnsi="Times New Roman" w:cs="Times New Roman"/>
          <w:sz w:val="28"/>
          <w:szCs w:val="28"/>
        </w:rPr>
        <w:t>Чернов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С.І. Публічне адміністрування. Текст лекцій / С.І. Чернов, С.О.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Гайдученко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// - Харків, ХНУМГ. -2014, - 96 с.</w:t>
      </w:r>
    </w:p>
    <w:p w:rsidR="00FC3F75" w:rsidRDefault="00103DD6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Чиркин В.Е.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Публичное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управление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учебник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 xml:space="preserve">/ В.Е. </w:t>
      </w:r>
      <w:proofErr w:type="spellStart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Чиркин</w:t>
      </w:r>
      <w:proofErr w:type="spellEnd"/>
      <w:r w:rsidR="00FC3F75" w:rsidRPr="00FC3F75">
        <w:rPr>
          <w:rFonts w:ascii="Times New Roman" w:eastAsia="Calibri" w:hAnsi="Times New Roman" w:cs="Times New Roman"/>
          <w:sz w:val="28"/>
          <w:szCs w:val="28"/>
        </w:rPr>
        <w:t>. М.: Юрист, 2004. – 475 с.</w:t>
      </w:r>
    </w:p>
    <w:p w:rsidR="000D5511" w:rsidRPr="00456FDD" w:rsidRDefault="000D5511" w:rsidP="000D55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 розділу 3</w:t>
      </w:r>
    </w:p>
    <w:p w:rsidR="000D5511" w:rsidRDefault="000D5511" w:rsidP="0010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511" w:rsidRPr="00FC3F75" w:rsidRDefault="000D5511" w:rsidP="000D5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Бланк И.А.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И.А. Бланк. В 2 т. – К.: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Эльга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Ника-Центр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1248 с</w:t>
      </w:r>
    </w:p>
    <w:p w:rsidR="000D5511" w:rsidRPr="00FC3F75" w:rsidRDefault="000D5511" w:rsidP="000D5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Коваленко Л.О. Фінансовий менеджмент: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- 2-ге вид., перероб. і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 / Л.О.Коваленко, Л.М.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Ремньова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К.: Знання, 2005. - 485 с.</w:t>
      </w:r>
    </w:p>
    <w:p w:rsidR="000D5511" w:rsidRPr="00FC3F75" w:rsidRDefault="000D5511" w:rsidP="000D5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Крамаренко Г.О. Фінансовий менеджмент: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 / Г.О.Крамаренко, О.Є. Чорна. - К.: Центр навчальної літератури, 2006. - 520 с.</w:t>
      </w:r>
    </w:p>
    <w:p w:rsidR="000D5511" w:rsidRPr="00103DD6" w:rsidRDefault="000D5511" w:rsidP="00FB3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Фінансовий менеджмент: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посіб.3-тє вид/ за ред. Г.Г. </w:t>
      </w:r>
      <w:proofErr w:type="spellStart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Кірейцева</w:t>
      </w:r>
      <w:proofErr w:type="spellEnd"/>
      <w:r w:rsidRPr="00F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К.: Центр навчальної літератури, 2004. - 531 с.</w:t>
      </w:r>
    </w:p>
    <w:p w:rsidR="00325CE7" w:rsidRDefault="00325CE7" w:rsidP="008F16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EB3" w:rsidRDefault="007C7EB3" w:rsidP="007C7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ru-RU"/>
        </w:rPr>
        <w:t xml:space="preserve"> 4</w:t>
      </w:r>
    </w:p>
    <w:p w:rsidR="007C7EB3" w:rsidRDefault="007C7EB3" w:rsidP="007C7E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ru-RU"/>
        </w:rPr>
      </w:pPr>
    </w:p>
    <w:p w:rsidR="007C7EB3" w:rsidRPr="00801B44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1.Ілляшенко С.М. Маркетинг для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магістрів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навч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посібник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–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Суми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 ВТД «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Університетська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книга», 2007. – 928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с.</w:t>
      </w:r>
      <w:proofErr w:type="gram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,у</w:t>
      </w:r>
      <w:proofErr w:type="gram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7C7EB3" w:rsidRPr="00801B44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2..Котлер Ф.,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Келлер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К.Л.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Маркетинговий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менеджмент: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Навч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посібник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7C7EB3" w:rsidRPr="00801B44" w:rsidRDefault="007C7EB3" w:rsidP="007C7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3-е издание. — СПб.: Питер, 2012. — 810 с., рос.</w:t>
      </w:r>
    </w:p>
    <w:p w:rsidR="007C7EB3" w:rsidRPr="00801B44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3.Дахно І. І.,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Бабіч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Г. В.,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Барановська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В. М.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Зовнішньоекономічний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менеджмент.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Навч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посіб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– К.: Центр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учбової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літератури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2012. – 568 с.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7C7EB3" w:rsidRPr="00801B44" w:rsidRDefault="007C7EB3" w:rsidP="007C7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4.Шкурупій О.В., Гончаренко В.В., Артеменко І.А.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Зовнішньоекономічна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діяльність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підприємства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Навчальний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посібник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– К.: Центр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учбової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літератури</w:t>
      </w:r>
      <w:proofErr w:type="spellEnd"/>
      <w:r w:rsidRPr="00801B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2012– 248 с. </w:t>
      </w:r>
    </w:p>
    <w:p w:rsidR="007C7EB3" w:rsidRDefault="007C7EB3" w:rsidP="008F16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680" w:rsidRPr="00456FDD" w:rsidRDefault="007C7EB3" w:rsidP="008F16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 розділу 5</w:t>
      </w:r>
    </w:p>
    <w:p w:rsidR="001676DF" w:rsidRPr="00FC3F75" w:rsidRDefault="001676DF" w:rsidP="00FC3F75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6DF" w:rsidRPr="001676DF" w:rsidRDefault="001676DF" w:rsidP="001676DF">
      <w:pPr>
        <w:widowControl w:val="0"/>
        <w:numPr>
          <w:ilvl w:val="0"/>
          <w:numId w:val="7"/>
        </w:numPr>
        <w:spacing w:after="0" w:line="240" w:lineRule="auto"/>
        <w:ind w:left="0"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76DF">
        <w:rPr>
          <w:rFonts w:ascii="Times New Roman" w:eastAsia="Times New Roman" w:hAnsi="Times New Roman" w:cs="Times New Roman"/>
          <w:iCs/>
          <w:sz w:val="28"/>
          <w:szCs w:val="28"/>
        </w:rPr>
        <w:t>Шейко</w:t>
      </w:r>
      <w:proofErr w:type="spellEnd"/>
      <w:r w:rsidRPr="001676DF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В.М.</w:t>
      </w:r>
      <w:r w:rsidRPr="001676DF">
        <w:rPr>
          <w:rFonts w:ascii="Times New Roman" w:eastAsia="Times New Roman" w:hAnsi="Times New Roman" w:cs="Times New Roman"/>
          <w:sz w:val="28"/>
          <w:szCs w:val="28"/>
        </w:rPr>
        <w:t xml:space="preserve"> Організація та методика науково-дослідницької діяльності: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</w:rPr>
        <w:t>підр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</w:rPr>
        <w:t xml:space="preserve">. / В.М.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</w:rPr>
        <w:t>Шейко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</w:rPr>
        <w:t xml:space="preserve">, Н.М.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</w:rPr>
        <w:t>Кушнаренко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</w:rPr>
        <w:t>. – [4-те вид.] - Київ, “Знання”. - 2004.- 307 с.</w:t>
      </w:r>
    </w:p>
    <w:p w:rsidR="001676DF" w:rsidRPr="001676DF" w:rsidRDefault="001676DF" w:rsidP="001676DF">
      <w:pPr>
        <w:widowControl w:val="0"/>
        <w:numPr>
          <w:ilvl w:val="0"/>
          <w:numId w:val="7"/>
        </w:numPr>
        <w:spacing w:after="0" w:line="240" w:lineRule="auto"/>
        <w:ind w:left="0"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Стеченко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Д.М.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 Д.М.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Стеченко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О.С.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Чмир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[2-ге вид.,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доп.]. – К.: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, 2007. – 317 с.</w:t>
      </w:r>
    </w:p>
    <w:p w:rsidR="00A71F15" w:rsidRDefault="001676DF" w:rsidP="00A71F15">
      <w:pPr>
        <w:widowControl w:val="0"/>
        <w:numPr>
          <w:ilvl w:val="0"/>
          <w:numId w:val="7"/>
        </w:numPr>
        <w:spacing w:after="0" w:line="240" w:lineRule="auto"/>
        <w:ind w:left="0"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Крушельницька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О.В.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 О.В. </w:t>
      </w:r>
      <w:proofErr w:type="spellStart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Крушельницька</w:t>
      </w:r>
      <w:proofErr w:type="spellEnd"/>
      <w:r w:rsidRPr="001676DF">
        <w:rPr>
          <w:rFonts w:ascii="Times New Roman" w:eastAsia="Times New Roman" w:hAnsi="Times New Roman" w:cs="Times New Roman"/>
          <w:sz w:val="28"/>
          <w:szCs w:val="28"/>
          <w:lang w:val="ru-RU"/>
        </w:rPr>
        <w:t>. - К.: Кондор, 2003.- 192 с.</w:t>
      </w:r>
    </w:p>
    <w:p w:rsidR="001676DF" w:rsidRPr="001676DF" w:rsidRDefault="001676DF" w:rsidP="00A71F15">
      <w:pPr>
        <w:widowControl w:val="0"/>
        <w:numPr>
          <w:ilvl w:val="0"/>
          <w:numId w:val="7"/>
        </w:numPr>
        <w:spacing w:after="0" w:line="240" w:lineRule="auto"/>
        <w:ind w:left="0"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76DF">
        <w:rPr>
          <w:rFonts w:ascii="Times New Roman" w:eastAsia="Calibri" w:hAnsi="Times New Roman" w:cs="Times New Roman"/>
          <w:sz w:val="28"/>
          <w:szCs w:val="28"/>
        </w:rPr>
        <w:t>Методологія наукових досліджень та практична підготовка: Практикум [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студ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. вищих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закл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.] / Л.А.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Бахчиванжи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Добрянська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 xml:space="preserve">, Л.В. </w:t>
      </w:r>
      <w:proofErr w:type="spellStart"/>
      <w:r w:rsidRPr="001676DF">
        <w:rPr>
          <w:rFonts w:ascii="Times New Roman" w:eastAsia="Calibri" w:hAnsi="Times New Roman" w:cs="Times New Roman"/>
          <w:sz w:val="28"/>
          <w:szCs w:val="28"/>
        </w:rPr>
        <w:t>Лопотан</w:t>
      </w:r>
      <w:proofErr w:type="spellEnd"/>
      <w:r w:rsidRPr="001676DF">
        <w:rPr>
          <w:rFonts w:ascii="Times New Roman" w:eastAsia="Calibri" w:hAnsi="Times New Roman" w:cs="Times New Roman"/>
          <w:sz w:val="28"/>
          <w:szCs w:val="28"/>
        </w:rPr>
        <w:t>. / – Одеса: 2012. – 254 с.</w:t>
      </w:r>
    </w:p>
    <w:p w:rsidR="00801B44" w:rsidRDefault="00801B44" w:rsidP="001E7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ru-RU"/>
        </w:rPr>
      </w:pPr>
    </w:p>
    <w:p w:rsidR="00801B44" w:rsidRDefault="00801B44" w:rsidP="007F74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</w:p>
    <w:p w:rsidR="00703233" w:rsidRPr="00703233" w:rsidRDefault="00325CE7" w:rsidP="001E7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94949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3</w:t>
      </w:r>
      <w:r w:rsidR="00703233" w:rsidRPr="001E7656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. КРИТЕРІЇ ОЦІНЮВАННЯ ЗНАНЬ ВСТУПНИКІВ</w:t>
      </w:r>
    </w:p>
    <w:p w:rsidR="00325CE7" w:rsidRDefault="00325CE7" w:rsidP="000D2E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0D2E09" w:rsidRPr="00AA39B3" w:rsidRDefault="000D2E09" w:rsidP="000D2E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9B3">
        <w:rPr>
          <w:rFonts w:ascii="Times New Roman" w:hAnsi="Times New Roman" w:cs="Times New Roman"/>
          <w:sz w:val="28"/>
          <w:szCs w:val="28"/>
        </w:rPr>
        <w:t>Оцінювання іспитів здійснюється за 100-бальною шкалою, за системою ЄКТС</w:t>
      </w:r>
      <w:r w:rsidR="00325CE7" w:rsidRPr="00AA39B3">
        <w:rPr>
          <w:rFonts w:ascii="Times New Roman" w:hAnsi="Times New Roman" w:cs="Times New Roman"/>
          <w:sz w:val="28"/>
          <w:szCs w:val="28"/>
        </w:rPr>
        <w:t xml:space="preserve"> та національною шкалою (табл. 3</w:t>
      </w:r>
      <w:r w:rsidRPr="00AA39B3">
        <w:rPr>
          <w:rFonts w:ascii="Times New Roman" w:hAnsi="Times New Roman" w:cs="Times New Roman"/>
          <w:sz w:val="28"/>
          <w:szCs w:val="28"/>
        </w:rPr>
        <w:t xml:space="preserve">.1). </w:t>
      </w:r>
    </w:p>
    <w:p w:rsidR="00801B44" w:rsidRDefault="00801B44" w:rsidP="000D2E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0D2E09" w:rsidRPr="000D2E09" w:rsidRDefault="00325CE7" w:rsidP="000D2E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Таблиця 3</w:t>
      </w:r>
      <w:r w:rsidR="000D2E09" w:rsidRPr="000D2E09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.1. </w:t>
      </w:r>
    </w:p>
    <w:p w:rsidR="000D2E09" w:rsidRPr="00B86FE5" w:rsidRDefault="000D2E09" w:rsidP="000D2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0D2E09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Таблиця відповідності результатів контролю знань за різними шкалами і критерії оцінювання</w:t>
      </w:r>
    </w:p>
    <w:tbl>
      <w:tblPr>
        <w:tblW w:w="9205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917"/>
        <w:gridCol w:w="1302"/>
        <w:gridCol w:w="3627"/>
        <w:gridCol w:w="1279"/>
        <w:gridCol w:w="989"/>
      </w:tblGrid>
      <w:tr w:rsidR="000D2E09" w:rsidRPr="000D2E09" w:rsidTr="000D2E09">
        <w:trPr>
          <w:trHeight w:val="276"/>
          <w:jc w:val="center"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Сума балів за 100-бальною шкалою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Оцінка в ECTS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Значення оцінки ECTS</w:t>
            </w:r>
          </w:p>
        </w:tc>
        <w:tc>
          <w:tcPr>
            <w:tcW w:w="19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Критерії оцінювання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Рівень компетентності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Оцінка за національною шкалою</w:t>
            </w:r>
          </w:p>
        </w:tc>
      </w:tr>
      <w:tr w:rsidR="000D2E09" w:rsidRPr="000D2E09" w:rsidTr="000D2E09">
        <w:trPr>
          <w:trHeight w:val="276"/>
          <w:jc w:val="center"/>
        </w:trPr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E09" w:rsidRPr="000D2E09" w:rsidTr="000D2E09">
        <w:trPr>
          <w:trHeight w:val="229"/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4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5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E09" w:rsidRPr="000D2E09" w:rsidTr="000D2E09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90 - 100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відмінно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Високий (творчий)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Відмінно </w:t>
            </w:r>
          </w:p>
        </w:tc>
      </w:tr>
      <w:tr w:rsidR="000D2E09" w:rsidRPr="000D2E09" w:rsidTr="005C3397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82 - 89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дуже добре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Студент вільно володіє вивченим обсягом матеріалу, застосовує його на практиці, вільно розв'язує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Достатній (конструктивно-варіативний)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Добре </w:t>
            </w:r>
          </w:p>
        </w:tc>
      </w:tr>
      <w:tr w:rsidR="000D2E09" w:rsidRPr="000D2E09" w:rsidTr="005C3397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74 - 81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добре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E09" w:rsidRPr="000D2E09" w:rsidTr="00267CFE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64 - 73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задовільно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Середній (репродуктивний)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</w:tr>
      <w:tr w:rsidR="000D2E09" w:rsidRPr="000D2E09" w:rsidTr="00267CFE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60 - 63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E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достатньо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6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09" w:rsidRPr="000D2E09" w:rsidRDefault="000D2E09" w:rsidP="0032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E09" w:rsidRPr="000D2E09" w:rsidTr="000D2E09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35 - 59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FX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незадовільно з можливістю повторного складання семестрового контролю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Низький (рецептивно-продуктивний)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09" w:rsidRPr="000D2E09" w:rsidRDefault="000D2E09" w:rsidP="003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09">
              <w:rPr>
                <w:rFonts w:ascii="Times New Roman" w:eastAsia="Times New Roman" w:hAnsi="Times New Roman" w:cs="Times New Roman"/>
                <w:sz w:val="27"/>
                <w:szCs w:val="27"/>
              </w:rPr>
              <w:t>незадовільно</w:t>
            </w:r>
          </w:p>
        </w:tc>
      </w:tr>
    </w:tbl>
    <w:p w:rsidR="00325CE7" w:rsidRDefault="00325CE7" w:rsidP="008C6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C2" w:rsidRPr="00325CE7" w:rsidRDefault="008C67C2" w:rsidP="008C6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E7">
        <w:rPr>
          <w:rFonts w:ascii="Times New Roman" w:eastAsia="Times New Roman" w:hAnsi="Times New Roman" w:cs="Times New Roman"/>
          <w:sz w:val="28"/>
          <w:szCs w:val="28"/>
        </w:rPr>
        <w:t xml:space="preserve">Кожен білет складається з трьох питань, відповіді на які надаються окремо. Оцінка знань визначається на основі округленого середнього арифметичного балу, отриманого вступником </w:t>
      </w:r>
      <w:r w:rsidR="00325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E7">
        <w:rPr>
          <w:rFonts w:ascii="Times New Roman" w:eastAsia="Times New Roman" w:hAnsi="Times New Roman" w:cs="Times New Roman"/>
          <w:sz w:val="28"/>
          <w:szCs w:val="28"/>
        </w:rPr>
        <w:t>за відповіді на кожне питання екзаменаційного білету.</w:t>
      </w:r>
    </w:p>
    <w:p w:rsidR="008C67C2" w:rsidRPr="00325CE7" w:rsidRDefault="008C67C2" w:rsidP="008C6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E7">
        <w:rPr>
          <w:rFonts w:ascii="Times New Roman" w:eastAsia="Times New Roman" w:hAnsi="Times New Roman" w:cs="Times New Roman"/>
          <w:sz w:val="28"/>
          <w:szCs w:val="28"/>
        </w:rPr>
        <w:t xml:space="preserve">Під час іспиту в усній формі члени відповідної предметної комісії відмічають правильність відповідей в аркуші усної відповіді, який </w:t>
      </w:r>
      <w:r w:rsidR="00325CE7">
        <w:rPr>
          <w:rFonts w:ascii="Times New Roman" w:eastAsia="Times New Roman" w:hAnsi="Times New Roman" w:cs="Times New Roman"/>
          <w:sz w:val="28"/>
          <w:szCs w:val="28"/>
        </w:rPr>
        <w:t>після</w:t>
      </w:r>
      <w:r w:rsidRPr="00325CE7">
        <w:rPr>
          <w:rFonts w:ascii="Times New Roman" w:eastAsia="Times New Roman" w:hAnsi="Times New Roman" w:cs="Times New Roman"/>
          <w:sz w:val="28"/>
          <w:szCs w:val="28"/>
        </w:rPr>
        <w:t xml:space="preserve"> закінченні іспиту підписується вступником та членами відповідної комісії. </w:t>
      </w:r>
    </w:p>
    <w:p w:rsidR="000D2E09" w:rsidRPr="00B25758" w:rsidRDefault="000D2E09" w:rsidP="008C6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sectPr w:rsidR="000D2E09" w:rsidRPr="00B25758" w:rsidSect="00BB19BA">
      <w:pgSz w:w="11907" w:h="16840" w:code="9"/>
      <w:pgMar w:top="1134" w:right="851" w:bottom="12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AAF"/>
    <w:multiLevelType w:val="hybridMultilevel"/>
    <w:tmpl w:val="FE8250DA"/>
    <w:lvl w:ilvl="0" w:tplc="952C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97216"/>
    <w:multiLevelType w:val="hybridMultilevel"/>
    <w:tmpl w:val="21DC63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42788"/>
    <w:multiLevelType w:val="hybridMultilevel"/>
    <w:tmpl w:val="DAA2F986"/>
    <w:lvl w:ilvl="0" w:tplc="1F9AB9B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B5656"/>
    <w:multiLevelType w:val="hybridMultilevel"/>
    <w:tmpl w:val="ACBC4B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1F37F8"/>
    <w:multiLevelType w:val="hybridMultilevel"/>
    <w:tmpl w:val="2AA8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6A1D50"/>
    <w:multiLevelType w:val="hybridMultilevel"/>
    <w:tmpl w:val="703AFFE6"/>
    <w:lvl w:ilvl="0" w:tplc="443E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9719E"/>
    <w:multiLevelType w:val="hybridMultilevel"/>
    <w:tmpl w:val="9C26D066"/>
    <w:lvl w:ilvl="0" w:tplc="07CEB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192B40"/>
    <w:multiLevelType w:val="hybridMultilevel"/>
    <w:tmpl w:val="BE2046CA"/>
    <w:lvl w:ilvl="0" w:tplc="4B9ACBD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6DD"/>
    <w:rsid w:val="00006A2B"/>
    <w:rsid w:val="00031696"/>
    <w:rsid w:val="000631CD"/>
    <w:rsid w:val="00064D5A"/>
    <w:rsid w:val="00073CA8"/>
    <w:rsid w:val="000B1EA6"/>
    <w:rsid w:val="000D2E09"/>
    <w:rsid w:val="000D5511"/>
    <w:rsid w:val="00103DD6"/>
    <w:rsid w:val="00116CF3"/>
    <w:rsid w:val="001676DF"/>
    <w:rsid w:val="001B0A7D"/>
    <w:rsid w:val="001E7656"/>
    <w:rsid w:val="0022465B"/>
    <w:rsid w:val="0025429D"/>
    <w:rsid w:val="002733F4"/>
    <w:rsid w:val="00274A33"/>
    <w:rsid w:val="002C2807"/>
    <w:rsid w:val="002F7F0D"/>
    <w:rsid w:val="003075A1"/>
    <w:rsid w:val="00325CE7"/>
    <w:rsid w:val="0035777C"/>
    <w:rsid w:val="003816B2"/>
    <w:rsid w:val="00394EE2"/>
    <w:rsid w:val="003A407F"/>
    <w:rsid w:val="003D38DE"/>
    <w:rsid w:val="003F66E1"/>
    <w:rsid w:val="004505B5"/>
    <w:rsid w:val="00456FDD"/>
    <w:rsid w:val="00472067"/>
    <w:rsid w:val="00490AE4"/>
    <w:rsid w:val="004926DD"/>
    <w:rsid w:val="004A3169"/>
    <w:rsid w:val="004C655D"/>
    <w:rsid w:val="00536083"/>
    <w:rsid w:val="0053710C"/>
    <w:rsid w:val="00555035"/>
    <w:rsid w:val="005560BC"/>
    <w:rsid w:val="00564109"/>
    <w:rsid w:val="00575202"/>
    <w:rsid w:val="00593494"/>
    <w:rsid w:val="005D2FAD"/>
    <w:rsid w:val="006343AF"/>
    <w:rsid w:val="00665B9E"/>
    <w:rsid w:val="00665D07"/>
    <w:rsid w:val="00692408"/>
    <w:rsid w:val="006F19C7"/>
    <w:rsid w:val="00703233"/>
    <w:rsid w:val="00737426"/>
    <w:rsid w:val="00743817"/>
    <w:rsid w:val="007653D3"/>
    <w:rsid w:val="0078303D"/>
    <w:rsid w:val="007A2DAB"/>
    <w:rsid w:val="007B786F"/>
    <w:rsid w:val="007C553A"/>
    <w:rsid w:val="007C766D"/>
    <w:rsid w:val="007C7EB3"/>
    <w:rsid w:val="007E2B4B"/>
    <w:rsid w:val="007F7475"/>
    <w:rsid w:val="00801B44"/>
    <w:rsid w:val="00806646"/>
    <w:rsid w:val="008C67C2"/>
    <w:rsid w:val="008D5997"/>
    <w:rsid w:val="008E4F31"/>
    <w:rsid w:val="008F1680"/>
    <w:rsid w:val="0090156B"/>
    <w:rsid w:val="0094782A"/>
    <w:rsid w:val="0095440F"/>
    <w:rsid w:val="009606AE"/>
    <w:rsid w:val="00991FF5"/>
    <w:rsid w:val="009C4EC4"/>
    <w:rsid w:val="009D23AB"/>
    <w:rsid w:val="00A71F15"/>
    <w:rsid w:val="00AA105A"/>
    <w:rsid w:val="00AA39B3"/>
    <w:rsid w:val="00AB26BB"/>
    <w:rsid w:val="00AE42B5"/>
    <w:rsid w:val="00AF01D9"/>
    <w:rsid w:val="00B12630"/>
    <w:rsid w:val="00B25758"/>
    <w:rsid w:val="00B31602"/>
    <w:rsid w:val="00B840BC"/>
    <w:rsid w:val="00B86FE5"/>
    <w:rsid w:val="00B870FF"/>
    <w:rsid w:val="00B92976"/>
    <w:rsid w:val="00BB19BA"/>
    <w:rsid w:val="00BD2AF8"/>
    <w:rsid w:val="00C20528"/>
    <w:rsid w:val="00C469B1"/>
    <w:rsid w:val="00C63FAD"/>
    <w:rsid w:val="00C81EA3"/>
    <w:rsid w:val="00C91489"/>
    <w:rsid w:val="00CA7284"/>
    <w:rsid w:val="00CC5436"/>
    <w:rsid w:val="00CE3681"/>
    <w:rsid w:val="00D12C9A"/>
    <w:rsid w:val="00D17A8B"/>
    <w:rsid w:val="00D36B80"/>
    <w:rsid w:val="00D61FA2"/>
    <w:rsid w:val="00DE6A15"/>
    <w:rsid w:val="00E528A3"/>
    <w:rsid w:val="00E57890"/>
    <w:rsid w:val="00E72387"/>
    <w:rsid w:val="00EA15B0"/>
    <w:rsid w:val="00EE23EF"/>
    <w:rsid w:val="00F34594"/>
    <w:rsid w:val="00F63743"/>
    <w:rsid w:val="00FA7B5F"/>
    <w:rsid w:val="00FB3E2C"/>
    <w:rsid w:val="00FC3F75"/>
    <w:rsid w:val="00F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3743"/>
    <w:pPr>
      <w:widowControl w:val="0"/>
      <w:autoSpaceDE w:val="0"/>
      <w:autoSpaceDN w:val="0"/>
      <w:adjustRightInd w:val="0"/>
      <w:spacing w:after="2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F63743"/>
  </w:style>
  <w:style w:type="paragraph" w:customStyle="1" w:styleId="1">
    <w:name w:val="1"/>
    <w:basedOn w:val="a"/>
    <w:rsid w:val="0070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703233"/>
    <w:rPr>
      <w:b/>
      <w:bCs/>
    </w:rPr>
  </w:style>
  <w:style w:type="character" w:styleId="a4">
    <w:name w:val="Emphasis"/>
    <w:basedOn w:val="a0"/>
    <w:uiPriority w:val="20"/>
    <w:qFormat/>
    <w:rsid w:val="00703233"/>
    <w:rPr>
      <w:i/>
      <w:iCs/>
    </w:rPr>
  </w:style>
  <w:style w:type="paragraph" w:styleId="a5">
    <w:name w:val="Normal (Web)"/>
    <w:basedOn w:val="a"/>
    <w:uiPriority w:val="99"/>
    <w:semiHidden/>
    <w:unhideWhenUsed/>
    <w:rsid w:val="0070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70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2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2E09"/>
    <w:pPr>
      <w:ind w:left="720"/>
      <w:contextualSpacing/>
    </w:pPr>
  </w:style>
  <w:style w:type="table" w:styleId="a7">
    <w:name w:val="Table Grid"/>
    <w:basedOn w:val="a1"/>
    <w:uiPriority w:val="39"/>
    <w:rsid w:val="0053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B26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26B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BC69-52EC-44F8-B033-8BB27C06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Эмма Пушкарь</cp:lastModifiedBy>
  <cp:revision>104</cp:revision>
  <dcterms:created xsi:type="dcterms:W3CDTF">2016-07-18T17:20:00Z</dcterms:created>
  <dcterms:modified xsi:type="dcterms:W3CDTF">2017-07-17T11:17:00Z</dcterms:modified>
</cp:coreProperties>
</file>