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FB" w:rsidRDefault="003D6AFB" w:rsidP="003D6AF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МІНІСТЕРСТВО ОСВІТИ І НАУКИ УКРАЇНИ</w:t>
      </w:r>
    </w:p>
    <w:p w:rsidR="003D6AFB" w:rsidRDefault="003D6AFB" w:rsidP="003D6AFB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ОДЕСЬКИЙ ДЕРЖАВНИЙ АГРАРНИЙ УНІВЕРСИТЕТ</w:t>
      </w:r>
    </w:p>
    <w:p w:rsidR="003D6AFB" w:rsidRDefault="003D6AFB" w:rsidP="003D6AFB">
      <w:pPr>
        <w:spacing w:after="0" w:line="240" w:lineRule="auto"/>
        <w:ind w:left="6372" w:firstLine="708"/>
        <w:rPr>
          <w:rFonts w:ascii="Times New Roman" w:hAnsi="Times New Roman"/>
          <w:b/>
          <w:iCs/>
          <w:sz w:val="28"/>
          <w:szCs w:val="28"/>
        </w:rPr>
      </w:pPr>
    </w:p>
    <w:p w:rsidR="003D6AFB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«ЗАТВЕРДЖУЮ»</w:t>
      </w:r>
    </w:p>
    <w:p w:rsidR="003D6AFB" w:rsidRPr="006A1250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Ректор Одеського державного</w:t>
      </w:r>
    </w:p>
    <w:p w:rsidR="003D6AFB" w:rsidRPr="006A1250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аграрного університету</w:t>
      </w:r>
    </w:p>
    <w:p w:rsidR="003D6AFB" w:rsidRPr="006A1250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 w:rsidRPr="006A1250">
        <w:rPr>
          <w:rFonts w:ascii="Times New Roman" w:hAnsi="Times New Roman"/>
          <w:iCs/>
          <w:sz w:val="28"/>
          <w:szCs w:val="28"/>
        </w:rPr>
        <w:t>голова приймальної комісії</w:t>
      </w:r>
    </w:p>
    <w:p w:rsidR="003D6AFB" w:rsidRPr="006A1250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професор </w:t>
      </w:r>
      <w:r w:rsidRPr="006A1250">
        <w:rPr>
          <w:rFonts w:ascii="Times New Roman" w:hAnsi="Times New Roman"/>
          <w:iCs/>
          <w:sz w:val="28"/>
          <w:szCs w:val="28"/>
        </w:rPr>
        <w:t>____</w:t>
      </w:r>
      <w:r>
        <w:rPr>
          <w:rFonts w:ascii="Times New Roman" w:hAnsi="Times New Roman"/>
          <w:iCs/>
          <w:sz w:val="28"/>
          <w:szCs w:val="28"/>
        </w:rPr>
        <w:t xml:space="preserve">______  </w:t>
      </w:r>
      <w:proofErr w:type="spellStart"/>
      <w:r w:rsidRPr="006A1250">
        <w:rPr>
          <w:rFonts w:ascii="Times New Roman" w:hAnsi="Times New Roman"/>
          <w:iCs/>
          <w:sz w:val="28"/>
          <w:szCs w:val="28"/>
        </w:rPr>
        <w:t>Корлюк</w:t>
      </w:r>
      <w:proofErr w:type="spellEnd"/>
      <w:r w:rsidRPr="006A1250">
        <w:rPr>
          <w:rFonts w:ascii="Times New Roman" w:hAnsi="Times New Roman"/>
          <w:iCs/>
          <w:sz w:val="28"/>
          <w:szCs w:val="28"/>
        </w:rPr>
        <w:t xml:space="preserve"> С.С.</w:t>
      </w:r>
    </w:p>
    <w:p w:rsidR="003D6AFB" w:rsidRPr="006A1250" w:rsidRDefault="003D6AFB" w:rsidP="003D6AFB">
      <w:pPr>
        <w:spacing w:after="0" w:line="240" w:lineRule="auto"/>
        <w:ind w:left="450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«_____»______________2017</w:t>
      </w:r>
      <w:r w:rsidRPr="006A1250">
        <w:rPr>
          <w:rFonts w:ascii="Times New Roman" w:hAnsi="Times New Roman"/>
          <w:iCs/>
          <w:sz w:val="28"/>
          <w:szCs w:val="28"/>
        </w:rPr>
        <w:t>р.</w:t>
      </w:r>
    </w:p>
    <w:p w:rsidR="003D6AFB" w:rsidRDefault="003D6AFB" w:rsidP="003D6AFB">
      <w:pPr>
        <w:ind w:left="4500"/>
        <w:rPr>
          <w:rFonts w:ascii="Times New Roman" w:hAnsi="Times New Roman"/>
          <w:b/>
          <w:iCs/>
          <w:sz w:val="28"/>
          <w:szCs w:val="28"/>
        </w:rPr>
      </w:pPr>
    </w:p>
    <w:p w:rsidR="003D6AFB" w:rsidRDefault="003D6AFB" w:rsidP="003D6AFB">
      <w:pPr>
        <w:rPr>
          <w:rFonts w:ascii="Times New Roman" w:hAnsi="Times New Roman"/>
          <w:b/>
          <w:iCs/>
          <w:sz w:val="28"/>
          <w:szCs w:val="28"/>
        </w:rPr>
      </w:pPr>
    </w:p>
    <w:p w:rsidR="003D6AFB" w:rsidRDefault="003D6AFB" w:rsidP="003D6AFB">
      <w:pPr>
        <w:rPr>
          <w:rFonts w:ascii="Times New Roman" w:hAnsi="Times New Roman"/>
          <w:b/>
          <w:iCs/>
          <w:sz w:val="28"/>
          <w:szCs w:val="28"/>
        </w:rPr>
      </w:pPr>
    </w:p>
    <w:p w:rsidR="003D6AFB" w:rsidRDefault="003D6AFB" w:rsidP="00B33A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7607AC">
        <w:rPr>
          <w:rFonts w:ascii="Times New Roman" w:hAnsi="Times New Roman"/>
          <w:b/>
          <w:iCs/>
          <w:sz w:val="28"/>
          <w:szCs w:val="28"/>
        </w:rPr>
        <w:t>ПРОГРАМА</w:t>
      </w:r>
    </w:p>
    <w:p w:rsidR="003D6AFB" w:rsidRPr="00100945" w:rsidRDefault="003D6AFB" w:rsidP="00B33A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фахових вступних випробувань</w:t>
      </w:r>
    </w:p>
    <w:p w:rsidR="003D6AFB" w:rsidRPr="00100945" w:rsidRDefault="003D6AFB" w:rsidP="00B33A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при вступі на спеціальність 211 «Ветеринарна медицина»</w:t>
      </w:r>
    </w:p>
    <w:p w:rsidR="003D6AFB" w:rsidRPr="00100945" w:rsidRDefault="003D6AFB" w:rsidP="00B33A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здобувачів вищої освіти ступеня «бакалавр»</w:t>
      </w:r>
    </w:p>
    <w:p w:rsidR="003D6AFB" w:rsidRPr="00100945" w:rsidRDefault="003D6AFB" w:rsidP="00B33A2A">
      <w:pPr>
        <w:tabs>
          <w:tab w:val="left" w:pos="3135"/>
        </w:tabs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на базі освітньо-кваліфікаційного рівня «молодший спеціаліст»</w:t>
      </w:r>
    </w:p>
    <w:p w:rsidR="003D6AFB" w:rsidRPr="00100945" w:rsidRDefault="003D6AFB" w:rsidP="00B33A2A">
      <w:pPr>
        <w:tabs>
          <w:tab w:val="left" w:pos="3135"/>
        </w:tabs>
        <w:spacing w:after="0"/>
        <w:jc w:val="center"/>
        <w:rPr>
          <w:rFonts w:ascii="Times New Roman" w:hAnsi="Times New Roman"/>
          <w:iCs/>
        </w:rPr>
      </w:pPr>
    </w:p>
    <w:p w:rsidR="003D6AFB" w:rsidRDefault="003D6AFB" w:rsidP="00B33A2A">
      <w:pPr>
        <w:tabs>
          <w:tab w:val="left" w:pos="3135"/>
        </w:tabs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  <w:tab w:val="left" w:pos="519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6AFB" w:rsidRPr="00AB007F" w:rsidRDefault="003D6AFB" w:rsidP="003D6AFB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Розглянуто і схвалено вченою радою</w:t>
      </w:r>
    </w:p>
    <w:p w:rsidR="003D6AFB" w:rsidRPr="00AB007F" w:rsidRDefault="003D6AFB" w:rsidP="003D6AFB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факультету ветеринарної медицини</w:t>
      </w:r>
      <w:r w:rsidR="003E1DB7">
        <w:rPr>
          <w:rFonts w:ascii="Times New Roman" w:hAnsi="Times New Roman"/>
          <w:iCs/>
          <w:sz w:val="28"/>
          <w:szCs w:val="28"/>
        </w:rPr>
        <w:t xml:space="preserve"> та БТ</w:t>
      </w:r>
    </w:p>
    <w:p w:rsidR="003D6AFB" w:rsidRPr="00AB007F" w:rsidRDefault="003D6AFB" w:rsidP="003D6AFB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протокол № ___ від _________2017</w:t>
      </w:r>
      <w:r w:rsidRPr="00AB007F">
        <w:rPr>
          <w:rFonts w:ascii="Times New Roman" w:hAnsi="Times New Roman"/>
          <w:iCs/>
          <w:sz w:val="28"/>
          <w:szCs w:val="28"/>
        </w:rPr>
        <w:t>р</w:t>
      </w:r>
    </w:p>
    <w:p w:rsidR="003D6AFB" w:rsidRPr="00AB007F" w:rsidRDefault="003D6AFB" w:rsidP="003D6AFB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B007F">
        <w:rPr>
          <w:rFonts w:ascii="Times New Roman" w:hAnsi="Times New Roman"/>
          <w:iCs/>
          <w:sz w:val="28"/>
          <w:szCs w:val="28"/>
        </w:rPr>
        <w:t>Голова вченої ради факультету</w:t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 w:rsidRPr="00AB007F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Т. Д. Пушкар</w:t>
      </w: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3D6A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D6AFB" w:rsidRDefault="003D6AFB" w:rsidP="00B33A2A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50F3A" w:rsidRDefault="003D6AFB" w:rsidP="00B33A2A">
      <w:pPr>
        <w:tabs>
          <w:tab w:val="center" w:pos="4677"/>
          <w:tab w:val="left" w:pos="5985"/>
        </w:tabs>
        <w:spacing w:before="240"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Одеса 2017</w:t>
      </w:r>
      <w:r w:rsidRPr="000D1CF8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450F3A" w:rsidRDefault="00450F3A" w:rsidP="00B33A2A">
      <w:pPr>
        <w:tabs>
          <w:tab w:val="center" w:pos="4677"/>
          <w:tab w:val="left" w:pos="5985"/>
        </w:tabs>
        <w:spacing w:before="240"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6AFB" w:rsidRPr="003D6AFB" w:rsidRDefault="003D6AFB" w:rsidP="00B33A2A">
      <w:pPr>
        <w:tabs>
          <w:tab w:val="center" w:pos="4677"/>
          <w:tab w:val="left" w:pos="5985"/>
        </w:tabs>
        <w:spacing w:before="240" w:after="0"/>
        <w:jc w:val="center"/>
        <w:rPr>
          <w:rFonts w:ascii="Verdana" w:hAnsi="Verdana"/>
          <w:sz w:val="28"/>
          <w:szCs w:val="28"/>
          <w:lang w:eastAsia="ru-RU"/>
        </w:rPr>
      </w:pPr>
      <w:r w:rsidRPr="00FA548E">
        <w:rPr>
          <w:rFonts w:ascii="Times New Roman" w:hAnsi="Times New Roman"/>
          <w:b/>
          <w:bCs/>
          <w:sz w:val="28"/>
          <w:szCs w:val="28"/>
          <w:lang w:eastAsia="ru-RU"/>
        </w:rPr>
        <w:t>ПРОГРАМА ФАХОВ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ИХ ВСТУПНИХ ВИПРОБУВАНЬ</w:t>
      </w:r>
    </w:p>
    <w:p w:rsidR="003D6AFB" w:rsidRPr="00100945" w:rsidRDefault="003D6AFB" w:rsidP="00B33A2A">
      <w:pPr>
        <w:tabs>
          <w:tab w:val="center" w:pos="5032"/>
          <w:tab w:val="right" w:pos="9355"/>
        </w:tabs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iCs/>
          <w:sz w:val="28"/>
          <w:szCs w:val="28"/>
        </w:rPr>
      </w:pPr>
      <w:r w:rsidRPr="00100945">
        <w:rPr>
          <w:rFonts w:ascii="Times New Roman" w:hAnsi="Times New Roman"/>
          <w:iCs/>
          <w:sz w:val="28"/>
          <w:szCs w:val="28"/>
        </w:rPr>
        <w:t>при вступі на спеціальність 211 «Ветеринарна медицина»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00945">
        <w:rPr>
          <w:rFonts w:ascii="Times New Roman" w:hAnsi="Times New Roman"/>
          <w:iCs/>
          <w:sz w:val="28"/>
          <w:szCs w:val="28"/>
        </w:rPr>
        <w:t>здобувачів вищої освіти ступеня «бакалавр»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00945">
        <w:rPr>
          <w:rFonts w:ascii="Times New Roman" w:hAnsi="Times New Roman"/>
          <w:iCs/>
          <w:sz w:val="28"/>
          <w:szCs w:val="28"/>
        </w:rPr>
        <w:t>на базі освітньо-кваліфікаційного рівня «молодший спеціаліст»</w:t>
      </w:r>
    </w:p>
    <w:p w:rsidR="003D6AFB" w:rsidRPr="003D6AFB" w:rsidRDefault="003D6AFB" w:rsidP="003D6AFB">
      <w:pPr>
        <w:spacing w:after="0" w:line="360" w:lineRule="auto"/>
        <w:jc w:val="both"/>
        <w:rPr>
          <w:rFonts w:ascii="Verdana" w:hAnsi="Verdana"/>
          <w:sz w:val="28"/>
          <w:szCs w:val="28"/>
          <w:lang w:eastAsia="ru-RU"/>
        </w:rPr>
      </w:pPr>
    </w:p>
    <w:p w:rsidR="00B33A2A" w:rsidRPr="00B33A2A" w:rsidRDefault="003D6AFB" w:rsidP="00B33A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3A2A">
        <w:rPr>
          <w:rFonts w:ascii="Times New Roman" w:hAnsi="Times New Roman"/>
          <w:b/>
          <w:bCs/>
          <w:sz w:val="28"/>
          <w:szCs w:val="28"/>
          <w:lang w:eastAsia="ru-RU"/>
        </w:rPr>
        <w:t>БАЗОВА ЧАСТИНА ПРОГРАМИ.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1.1. 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Класифікація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паразитів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Вплив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паразиті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організм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живителів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Гельмінтокопрологічні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діагностики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Дегельмінтизація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дезінвазія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Правила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дегельмінтизації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Фасці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о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Дикроцел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і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оз.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Опісторхоз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Цистицеркоз. Ценуроз.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Ехінококоз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Монієзіоз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Аскароз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Аскаридіоз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Оксіуроз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Диктіокаульоз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Стронгілідоз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Трихінельоз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Телязіоз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Гіподермоз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Гастрофільоз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Естроз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Сифункулятози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Гнус та заходи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боротьби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 ним.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Саркоптоз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Псороптоз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Іксодові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кліщі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заходи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боротьби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 ними.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Бабезіоз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Еймеріоз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 Трихомоноз.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1.2. 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Роль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мікроорганізмів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народному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господарстві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економічні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збитки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хвороб,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перспективи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епізоотології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0D1CF8">
        <w:rPr>
          <w:rFonts w:ascii="Times New Roman" w:hAnsi="Times New Roman"/>
          <w:sz w:val="28"/>
          <w:szCs w:val="28"/>
          <w:lang w:eastAsia="ru-RU"/>
        </w:rPr>
        <w:t>та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мікробіології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Основні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мікроорганізмів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принципи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класифікації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форми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бактерій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будова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величина,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рух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захисні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властивості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1.3. 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Поняття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інфекцію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інфекційну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хворобу,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заражен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ість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 </w:t>
      </w:r>
      <w:r w:rsidRPr="000D1CF8">
        <w:rPr>
          <w:rFonts w:ascii="Times New Roman" w:hAnsi="Times New Roman"/>
          <w:sz w:val="28"/>
          <w:szCs w:val="28"/>
          <w:lang w:eastAsia="ru-RU"/>
        </w:rPr>
        <w:t>у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мови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виникнення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інфекційної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імунітету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теорії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Поняття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еп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ізоотологічний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процес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ланцюг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джерело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резервуар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збудника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інфекції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,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мікробоносійство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епізоотологічне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вогнище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неблагополучне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загрозливе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господарство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Заходи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загальної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профілактики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охорона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кордонів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заносу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збудників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профілактичне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карантинування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дезінфекція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дератизація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пропаганда ветеринарних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знань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1.4. 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Закон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“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Ветеринарну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медицину”.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Відповідальність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ідприємств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установ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організацій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порушення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ветеринарного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Законодавства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Права,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обов'язки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відповідальність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ветеринарного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іаліста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1.5. 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Сибірка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Правець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Пастерельози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Туберкульоз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Бруцельоз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Лептоспіроз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Сказ. Ящур.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Віспа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Актиномікоз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Дерматомікози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Колібактеріоз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молодняку.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Сальмонельоз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молодняку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фекційний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ринотрахеїт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Лейкоз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великої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рогатої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худоби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Емфізематозний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карбункул.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Паратуберкульоз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Класична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африканська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чума свиней.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Бешиха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свиней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фекційний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атрофічний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риніт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свиней (ІАР).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Ензоотичний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енцефаломієліт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хвороба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Тешена). Сап.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Мит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Інфекційна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анемія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коней (ІНАН).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Пулороз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- тиф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птиці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lastRenderedPageBreak/>
        <w:t>Грип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птиці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Хвороба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Ньюкасла.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Нейролімфоматоз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хвороба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Марека).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Міксоматоз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Вірусна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геморагічна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хвороба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кролів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Чума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м'ясо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їдних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Американський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гнилець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Європейський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гнилець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1.6. 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Супровідні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документи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забійних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Хімічний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склад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харчова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цінність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молока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D1CF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D1CF8">
        <w:rPr>
          <w:rFonts w:ascii="Times New Roman" w:hAnsi="Times New Roman"/>
          <w:sz w:val="28"/>
          <w:szCs w:val="28"/>
          <w:lang w:eastAsia="ru-RU"/>
        </w:rPr>
        <w:t xml:space="preserve">етсанекспертиза м'ясопродуктів при бешисі. Ветсанекспертиза туші при туберкульозі. Консервування м'ясопродуктів сіллю та копченням. Консервування м'ясопродуктів високими та низькими температурами.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сільськогосподарських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хворобах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Транспортування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забійних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Будова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ідприємств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0D1CF8">
        <w:rPr>
          <w:rFonts w:ascii="Times New Roman" w:hAnsi="Times New Roman"/>
          <w:sz w:val="28"/>
          <w:szCs w:val="28"/>
          <w:lang w:eastAsia="ru-RU"/>
        </w:rPr>
        <w:t>з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перероб</w:t>
      </w:r>
      <w:r w:rsidRPr="000D1CF8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забійних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знезараж</w:t>
      </w:r>
      <w:r w:rsidRPr="000D1CF8">
        <w:rPr>
          <w:rFonts w:ascii="Times New Roman" w:hAnsi="Times New Roman"/>
          <w:sz w:val="28"/>
          <w:szCs w:val="28"/>
          <w:lang w:eastAsia="ru-RU"/>
        </w:rPr>
        <w:t>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умовно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-при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датного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м'яса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ідготовка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птиці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до забою.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санітарна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оцінка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м'яса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чумі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свиней.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1.7. 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Сані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тарно-г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ігієнічні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вимоги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виробничих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цехів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м’ясокомбінату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Особливості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технології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забою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розробки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ізних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забійних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знезараження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молока. Правила допуску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забою. Правила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молока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одержаного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свиней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трихінельозі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великої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рогатої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худоби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свиней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при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цистицеркозі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великої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рогатої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худоби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ящурі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Ветсанекспертиза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туш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великої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рогатої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худоби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сибірці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Категорії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вгодованості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забійних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1.8. 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Основні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додаткові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досл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ідження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Симптоми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синдроми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Поняття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діагноз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прогноз,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Етіотропна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симптоматична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терапія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Досл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ідження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травлення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Техн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введення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магнітних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зондів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дихання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D1CF8">
        <w:rPr>
          <w:rFonts w:ascii="Times New Roman" w:hAnsi="Times New Roman"/>
          <w:sz w:val="28"/>
          <w:szCs w:val="28"/>
          <w:lang w:eastAsia="ru-RU"/>
        </w:rPr>
        <w:t> Шляхи введення лікарських речовин. Дослідження сечової системи. Профілактика внутрішніх незаразних хвороб у тваринництві.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Травматичний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перикардит.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Риніт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Бронхіт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Катаральна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бронхопневмонія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Плеврит.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Гіперемія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набряк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легень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Стоматит. Закупорка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стравоходу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Фарингіт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Гіпотонія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атонія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передшлунків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Тимпанія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рубця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Закупорка книжки.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Гастроентерит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Переповнення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рубця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Травматичний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ретикул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і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т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ретикулоперитон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і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Гострий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метеоризм кишок.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Гостре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розширення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шлунку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Цистит.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Гіповітаміноз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А.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Остеодистрофія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Кетоз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великої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рогатої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худоби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Отруєння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кухонною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сіллю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Отруєння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соланіном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Отруєння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нітратами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нітритами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Диспепсія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Рахіт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Аліментарна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анемія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поросят. Подагра (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сечокислий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діатез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Жовтковий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перитоніт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1.9. 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загоєння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ран.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Оваріоектоміясвинок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Поняття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наркоз,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наркозу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тваринам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фіксації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, повали с/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мета.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Переломикісток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Сепсис,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проф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ілактика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Кровотеча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способи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зупинки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кровотечі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Гнійна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хірургічна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lastRenderedPageBreak/>
        <w:t>Вивихи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рани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суглобів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Гнильна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хірургічна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інфекція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D1CF8">
        <w:rPr>
          <w:rFonts w:ascii="Times New Roman" w:hAnsi="Times New Roman"/>
          <w:sz w:val="28"/>
          <w:szCs w:val="28"/>
          <w:lang w:eastAsia="ru-RU"/>
        </w:rPr>
        <w:t> Специфічна хірургічна інфекція.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 xml:space="preserve">Гематома, 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лімфоекстравазат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знеболювання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Травматизм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проф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ілактика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Асептика і антисептика,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іївиди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Поняття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кастрацію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Рани,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симптоми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класифікація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Біологія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раньовогопроцесу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Запалення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сім'яникі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та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препуція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Атрофіям'язів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Остит —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запалення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кістки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0D1CF8">
        <w:rPr>
          <w:rFonts w:ascii="Times New Roman" w:hAnsi="Times New Roman"/>
          <w:sz w:val="28"/>
          <w:szCs w:val="28"/>
          <w:lang w:eastAsia="ru-RU"/>
        </w:rPr>
        <w:t> Запалення слизової оболонки очей, кон'юнктивіт.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1.10. Вагітність, види вагітності. Зміни в організмі вагітних тварин. 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діагностики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вагітності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у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сільськогосподарських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Роди,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періоди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роді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Родов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перейми і потуги.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Допомога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нормальних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родах. Правила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прийому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новонароджених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годівля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Інволюція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статевих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Лохії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Родильні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приміщення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в них.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Передчасні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перейми </w:t>
      </w:r>
      <w:r w:rsidRPr="000D1CF8">
        <w:rPr>
          <w:rFonts w:ascii="Times New Roman" w:hAnsi="Times New Roman"/>
          <w:sz w:val="28"/>
          <w:szCs w:val="28"/>
          <w:lang w:eastAsia="ru-RU"/>
        </w:rPr>
        <w:t>та</w:t>
      </w:r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 потуги.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Залежування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перед родами.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Випад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іхви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Перекручування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матки. Аборт.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Класифікація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, причини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економічні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збитки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Сухі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роди.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Основні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акушерської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ідготовка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акушерської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Акушерський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інструментарій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при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наданні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гінекологічного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досл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ідження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Форми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причини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неплідності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Затримка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посл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іду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Випад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і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ння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матки. </w:t>
      </w:r>
      <w:proofErr w:type="spellStart"/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ісляродовий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парез. Вади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вимені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хвороби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новонароджених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тварин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Серозний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набряк</w:t>
      </w:r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вим</w:t>
      </w:r>
      <w:r w:rsidRPr="000D1CF8">
        <w:rPr>
          <w:rFonts w:ascii="Times New Roman" w:hAnsi="Times New Roman"/>
          <w:sz w:val="28"/>
          <w:szCs w:val="28"/>
          <w:lang w:eastAsia="ru-RU"/>
        </w:rPr>
        <w:t>ені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Серозний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мастит.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Катаральний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мастит.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Хронічний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катарально-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гнійний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ендометрит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Персистентне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жовте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тіло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Кіста</w:t>
      </w:r>
      <w:proofErr w:type="spellEnd"/>
      <w:r w:rsidRPr="000D1C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1CF8">
        <w:rPr>
          <w:rFonts w:ascii="Times New Roman" w:hAnsi="Times New Roman"/>
          <w:sz w:val="28"/>
          <w:szCs w:val="28"/>
          <w:lang w:val="ru-RU" w:eastAsia="ru-RU"/>
        </w:rPr>
        <w:t>яєчникі</w:t>
      </w:r>
      <w:proofErr w:type="gramStart"/>
      <w:r w:rsidRPr="000D1CF8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0D1CF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6AFB" w:rsidRDefault="003D6AFB" w:rsidP="003D6AFB">
      <w:pPr>
        <w:spacing w:after="0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0D1CF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 </w:t>
      </w:r>
    </w:p>
    <w:p w:rsidR="00B33A2A" w:rsidRPr="000D1CF8" w:rsidRDefault="00B33A2A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2. СПИСОК РЕКОМЕНДОВАНОЇ ЛІТЕРАТУРИ</w:t>
      </w:r>
    </w:p>
    <w:p w:rsidR="003D6AFB" w:rsidRPr="003D1797" w:rsidRDefault="003D6AFB" w:rsidP="00B33A2A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[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В.  Влізло, І. 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 та ін.] ;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– Біла Церква, 2015. – Ч. 2. – 610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[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Кондарахін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І. П., Влізло    В. В. та ін. ]; За ред.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Біла Церква, 2012. – Ч. 1. – 528.</w:t>
      </w:r>
      <w:r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Ветеринарна токсикологія / [ Хмельницький Г. О.,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Малинін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 О., Куцан О. Т.,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Духницький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Б. ]; За ред.. академіка НААН України Г. О. Хмельницького та проф. В. Б,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Духницького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– К. : Аграрна освіта, 2012. – 352 с. 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>Ветеринарна клінічна біохімія: навчальний посібник / [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Карташов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М. І.,  Тимошенко О. П.,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Кібкало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Д. В. та ін.]; За ред.. М.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Карташова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та О. П. Тимошенко. –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Харквів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Еспада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 2010. – 400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.Ветеринарная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анестезия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практ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пособие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/ Ольга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Полатайко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;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худож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. И. Щур, - К. : ВД «Перископ», 2009. – 408 с. </w:t>
      </w:r>
    </w:p>
    <w:p w:rsidR="00B33A2A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Л.А.,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М.В. Оперативна хірургія, анестезіологія і топографічна анатомія (Ч.2). – Біла Церква, 2006. </w:t>
      </w:r>
    </w:p>
    <w:p w:rsidR="00B33A2A" w:rsidRDefault="00B33A2A" w:rsidP="00B33A2A">
      <w:pPr>
        <w:pStyle w:val="a3"/>
        <w:shd w:val="clear" w:color="auto" w:fill="FFFFFF"/>
        <w:tabs>
          <w:tab w:val="left" w:pos="8422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914B34">
        <w:rPr>
          <w:rFonts w:ascii="Times New Roman" w:hAnsi="Times New Roman"/>
          <w:snapToGrid w:val="0"/>
          <w:sz w:val="28"/>
          <w:szCs w:val="28"/>
        </w:rPr>
        <w:t>– 544 с.</w:t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B33A2A" w:rsidRPr="00B33A2A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lastRenderedPageBreak/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Л.А.,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М.В. Оперативна хірургія, анестезіологія і топографічна анатомія (Ч.1). – Біла Церква, 2003. </w:t>
      </w:r>
      <w:r w:rsidRPr="00B33A2A">
        <w:rPr>
          <w:rFonts w:ascii="Times New Roman" w:hAnsi="Times New Roman"/>
          <w:snapToGrid w:val="0"/>
          <w:sz w:val="28"/>
          <w:szCs w:val="28"/>
        </w:rPr>
        <w:t>– 512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Ветеринарна клінічна біохімія /В.І.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В.В. Влізло, 1.11.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та ін.;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Заред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і В.Л.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Галяса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— Біла Церква, 2002.-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400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Внутрішні хвороби тварин /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І.П.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В.В. Влізло та ін. За ред. В.І.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Левченка.-Біла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Церква, 2001.-Ч.2.-544с.</w:t>
      </w:r>
    </w:p>
    <w:p w:rsidR="00B33A2A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В.М.,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Тихонюк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Л.А. Ветеринарна анестезіологія. – Біла Церква, 2000. – 335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Гришко Д.С. Лекції з ветеринарного акушерства. -Харків. - Прапор, 2003.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400с.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Довідник по застосуванню фармакологічних засобів в акушерстві, гінекології, андрології та біотехнології відтворення тварин / Уклад.:</w:t>
      </w:r>
    </w:p>
    <w:p w:rsidR="00B33A2A" w:rsidRDefault="00B33A2A" w:rsidP="00B33A2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D1797">
        <w:rPr>
          <w:rFonts w:ascii="Times New Roman" w:hAnsi="Times New Roman"/>
          <w:sz w:val="28"/>
          <w:szCs w:val="28"/>
          <w:lang w:eastAsia="ru-RU"/>
        </w:rPr>
        <w:t>М.І.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ін.-К.: ДІА, 2011</w:t>
      </w:r>
      <w:r w:rsidRPr="003D179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9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797">
        <w:rPr>
          <w:rFonts w:ascii="Times New Roman" w:hAnsi="Times New Roman"/>
          <w:sz w:val="28"/>
          <w:szCs w:val="28"/>
          <w:lang w:eastAsia="ru-RU"/>
        </w:rPr>
        <w:t>255с.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14B34">
        <w:rPr>
          <w:rFonts w:ascii="Times New Roman" w:hAnsi="Times New Roman"/>
          <w:snapToGrid w:val="0"/>
          <w:sz w:val="28"/>
          <w:szCs w:val="28"/>
        </w:rPr>
        <w:t xml:space="preserve">Загальна ветеринарна хірургія / І.С. Панько, В.М.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Власенко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, М.В.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Рубленко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 xml:space="preserve"> та ін.; за ред. І.С. Панько (видання друге. </w:t>
      </w:r>
      <w:proofErr w:type="spellStart"/>
      <w:r w:rsidRPr="00914B34">
        <w:rPr>
          <w:rFonts w:ascii="Times New Roman" w:hAnsi="Times New Roman"/>
          <w:snapToGrid w:val="0"/>
          <w:sz w:val="28"/>
          <w:szCs w:val="28"/>
        </w:rPr>
        <w:t>Доп</w:t>
      </w:r>
      <w:proofErr w:type="spellEnd"/>
      <w:r w:rsidRPr="00914B34">
        <w:rPr>
          <w:rFonts w:ascii="Times New Roman" w:hAnsi="Times New Roman"/>
          <w:snapToGrid w:val="0"/>
          <w:sz w:val="28"/>
          <w:szCs w:val="28"/>
        </w:rPr>
        <w:t>. І перероб.). – Б. Церква: БДАУ, 2008. – 328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І. В.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Сирохман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Т.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Ростюк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Товарознавство м'яса і м'ясних товарів. Підручник. – К. : Центр навчальної літератури, 2004. – 384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Ковбасенко В.М. Ветеринарно-санітарна експертиза з основами технології та стандартизації продуктів тваринництва. Навчальний посібник. – Одеса: ТЕС, 2013. – 432 с. : іл.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Ковбасенко В.М.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Ветеринарно-санітарна експертиза з основами технології та стандартизації продуктів тваринництва. Навчальний посібник. – Одеса: ТЕС, 2012. – 456с. : іл.</w:t>
      </w:r>
    </w:p>
    <w:p w:rsidR="00B33A2A" w:rsidRPr="00BA0E6A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Кошовий В.П.,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Скляров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П.М., Науменко С.В. Проблеми відтворення овець і кіз та шляхи їх вирішення. Х.-Д.: Гамалія. - 2011.-467с.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Клінічна ветеринарна фармакологія / [Канюка О.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Файтельберг-Бланк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Р.,  Лизогуб Ю. П. та ін.]; За ред. О.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Конюки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– Одеса: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Астропринт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 2006. - 296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>Клінічна діагностика внутрішніх хвороб тварин / [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І., Влізло В. В.,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І. П. та ін. ]; За ред.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– БІЛА Церква, 2004. – 608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Методи лабораторної клінічної діагностики хвороб тварин / [В.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Головаха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І. 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Кондрахін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та ін.]; за ред. В.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Левченка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– К. : Аграрна освіта, 2010. – 437с.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М.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Хоренко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С. П. Хомин, А. Й.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Краєвський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Ю. Стефаник, А.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пономаренко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І. В.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Вощенко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А.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Тресницька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О. М. Чекан, Ю. В. Мусієнко, О. В.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Салецька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А. А. Черненко, Н. П.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Гребник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Фізіологія, патологія та біотехніка відтворення свиней. – Суми: </w:t>
      </w:r>
      <w:r w:rsidRPr="00914B34">
        <w:rPr>
          <w:rFonts w:ascii="Times New Roman" w:hAnsi="Times New Roman"/>
          <w:sz w:val="28"/>
          <w:szCs w:val="28"/>
          <w:lang w:eastAsia="ru-RU"/>
        </w:rPr>
        <w:lastRenderedPageBreak/>
        <w:t>Видавництво "Козацький вал", ВАТ "Сумська обласна друкарня", 2010. – 412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Машкін М. І., Париш Н. М. Технологія виробництва молока і молочних продуктів: Навчальне видання. – К.: Вища освіта, 2006. – 351 с. : іл.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Машкін М. І. Молоко і молочні продукти. – К. : Урожай, 1996. – 336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Паразитологія та інвазійні хвороби тварин:  підручник – 2-ге вид.,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переробл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та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допов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/ В. Ф.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Галат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А. В.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березовський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Н. М. Сорока, М. П. Прус: за ред.. В. Ф.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Галата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– К. : Урожай, 2009. – 368 с. іл. –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Бібліогр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: С. 363. 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Паразитологія та інвазійні хвороби тварин. Практикум: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посібник /  В. Ф.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Галат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 А. В. Березовський, М. П. Прус, Н. М. Сорока. – К. : Вища освіта, 2004. – 238с. : іл.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Сукманський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Улизько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С. І. Ветеринарна гематологія: Навчальний посібник для студентів вищих навчальних закладів. – Одеса: ВМВ,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2009. – 168 с. 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Судаков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М. О. та ін. Внутрішні незаразні  хвороби тварин: Підручник. – друге вид.,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доп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. /М. О.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Судаков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 М.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Цвіліховський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  В. І. Береза та ін. ; за ред. Н. О. Судакова. – К.: Мета, 2002. – 352с.: іл.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Технологія виробництва продукції свинарства: Підручник для підготовки фахівців у аграрних вищих навчальних закладах III – IV рівнів  акредитації із спеціальності « Технологія виробництва і переробки продукції тваринництва». / В. І. Герасимов, Д. І. Барановський, А.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Хохлов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П. Рибалко, Ю. В. Засуха, А. А.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Гетя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Нагаєвич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Т.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Данілова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О. В.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Пронь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Є. Ф.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Томін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Л. О. Тарасенко, М. М.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Жерноклєєв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Ю.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Афанасенко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, В. Ф. Андрійчук. За ред.. В. І. Герасимова. – Х. :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Еспада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, 2010. – 448 с. : іл.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Цвіліховський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М. І., Береза В.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Січкар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С.,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Голопура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С. І.,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Грушанська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Н. Г., Скиба О. О., Лазаренко П. В., Руденко А. А.,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Якимчук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 М. Внутрішні незаразні хвороби тварин: підручник. – 3-є видання, перероблене та доповнене / за ред. М. І.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Цвіліховського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. – К. : Аграрна освіта, 2014. – 614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Яблонський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А., Хомин С. П., Калиновський Г. М.,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Харута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Г. Г., 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Харенко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М. І., Завірюха В. ІФ., Любецький В. 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B34">
        <w:rPr>
          <w:rFonts w:ascii="Times New Roman" w:hAnsi="Times New Roman"/>
          <w:sz w:val="28"/>
          <w:szCs w:val="28"/>
          <w:lang w:eastAsia="ru-RU"/>
        </w:rPr>
        <w:t xml:space="preserve">Ветеринарне акушерство, гінекологія та біотехнологія відтворення тварин з основами андрології. / За редакцією В.А.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Яблонського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>,  С.П. Хомина. Підручник. – Вінниця: Нова Книга, 2008-600 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14B3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Якубчак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О.М. Підручник. Ветеринарно-санітарна експертиза з основами технології і стандартизації продуктів тваринництва / Київ, 2005.- 799с.</w:t>
      </w:r>
    </w:p>
    <w:p w:rsidR="00B33A2A" w:rsidRPr="00914B34" w:rsidRDefault="00B33A2A" w:rsidP="00B33A2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4B34">
        <w:rPr>
          <w:rFonts w:ascii="Times New Roman" w:hAnsi="Times New Roman"/>
          <w:sz w:val="28"/>
          <w:szCs w:val="28"/>
          <w:lang w:eastAsia="ru-RU"/>
        </w:rPr>
        <w:t>Яблонський</w:t>
      </w:r>
      <w:proofErr w:type="spellEnd"/>
      <w:r w:rsidRPr="00914B34">
        <w:rPr>
          <w:rFonts w:ascii="Times New Roman" w:hAnsi="Times New Roman"/>
          <w:sz w:val="28"/>
          <w:szCs w:val="28"/>
          <w:lang w:eastAsia="ru-RU"/>
        </w:rPr>
        <w:t xml:space="preserve"> В. А. Практичне акушерство, гінекологія та біотехнологія відтворення  тварин з основами андрології. – К.: Мета, 2002. – 319с.: іл.</w:t>
      </w:r>
    </w:p>
    <w:p w:rsidR="003D6AFB" w:rsidRDefault="003D6AFB" w:rsidP="003D6A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F62C0">
        <w:rPr>
          <w:rFonts w:ascii="Times New Roman" w:hAnsi="Times New Roman"/>
          <w:sz w:val="28"/>
          <w:szCs w:val="28"/>
          <w:lang w:eastAsia="ru-RU"/>
        </w:rPr>
        <w:t> </w:t>
      </w:r>
    </w:p>
    <w:p w:rsidR="00B33A2A" w:rsidRDefault="00B33A2A" w:rsidP="003D6AF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33A2A" w:rsidRPr="003F62C0" w:rsidRDefault="00B33A2A" w:rsidP="003D6AFB">
      <w:pPr>
        <w:spacing w:after="0"/>
        <w:rPr>
          <w:rFonts w:ascii="Verdana" w:hAnsi="Verdana"/>
          <w:sz w:val="28"/>
          <w:szCs w:val="28"/>
          <w:lang w:eastAsia="ru-RU"/>
        </w:rPr>
      </w:pPr>
    </w:p>
    <w:p w:rsidR="003D6AFB" w:rsidRPr="00B33A2A" w:rsidRDefault="003D6AFB" w:rsidP="00B33A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B33A2A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КРИТЕРІЇ ОЦІНЮВАННЯ ЗНАНЬ ВСТУПНИКІВ</w:t>
      </w:r>
    </w:p>
    <w:p w:rsidR="00B33A2A" w:rsidRPr="00B33A2A" w:rsidRDefault="00B33A2A" w:rsidP="00B33A2A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 xml:space="preserve">Базову контролюючу програму розроблено відповідно до вимог рекомендацій, затверджених Міністерством аграрної політики України та Міністерством освіти і науки України («Рекомендована практика конструювання тестів професійної компетенції випускників вищих навчальних закладів» / За 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 xml:space="preserve">. ред. Ю.В. 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Сухарнікова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. - К.: Аграрна освіта, 2000. - 38 с. та закону України «Про ветеринарну медицину» (2498-12) (Відомості Верховної Ради України - 1997 - № 7). Зазначена робота включає тестові завдання відповідно до переліку умінь, наведених у варіативній частині ОКХ, яка є стандартом вищої освіти.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Освітньо-кваліфікаційна характеристика (ОКХ) випускників вищого навчального закладу є галузевим нормативним документом, в якому узагальнюється зміст вищої освіти, тобто відображаються цілі вищої освіта та професійної підготовки, визначається місце фахівця із «Ветеринарії» в структурі АПК і вимоги до його компетентності, інших соціально важливих властивостей та якостей.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Цей стандарт є складовою галузевих стандартів вищої освіти, в якому узагальнюються вимоги з боку держави, світового співтовариства та споживачів випускників до змісту вищої освіти. ОКХ відображає соціальне замовлення на підготовку фахівця з урахуванням аналізу професійної діяльності та вимог до змісту освіти і навчання з боку держави та окремих замовників фахівців.</w:t>
      </w:r>
    </w:p>
    <w:p w:rsidR="003D6AFB" w:rsidRPr="006512DF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ОКХ встановлює галузеві кваліфікаційні вимоги до соціально</w:t>
      </w:r>
      <w:r w:rsidR="00C8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CF8">
        <w:rPr>
          <w:rFonts w:ascii="Times New Roman" w:hAnsi="Times New Roman"/>
          <w:sz w:val="28"/>
          <w:szCs w:val="28"/>
          <w:lang w:eastAsia="ru-RU"/>
        </w:rPr>
        <w:t xml:space="preserve">- виробничої діяльності випускників вищого навчального закладу </w:t>
      </w:r>
      <w:r>
        <w:rPr>
          <w:rFonts w:ascii="Times New Roman" w:hAnsi="Times New Roman"/>
          <w:sz w:val="28"/>
          <w:szCs w:val="28"/>
          <w:lang w:eastAsia="ru-RU"/>
        </w:rPr>
        <w:t>із спеціальності 211</w:t>
      </w:r>
      <w:r w:rsidRPr="000D1CF8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ступеня </w:t>
      </w:r>
      <w:r w:rsidRPr="000D1CF8">
        <w:rPr>
          <w:rFonts w:ascii="Times New Roman" w:hAnsi="Times New Roman"/>
          <w:sz w:val="28"/>
          <w:szCs w:val="28"/>
          <w:lang w:eastAsia="ru-RU"/>
        </w:rPr>
        <w:t xml:space="preserve">«Бакалавр» і державні вимоги до властивостей та якостей особи, яка здобула цей освітній </w:t>
      </w:r>
      <w:r>
        <w:rPr>
          <w:rFonts w:ascii="Times New Roman" w:hAnsi="Times New Roman"/>
          <w:sz w:val="28"/>
          <w:szCs w:val="28"/>
          <w:lang w:eastAsia="ru-RU"/>
        </w:rPr>
        <w:t>ступень</w:t>
      </w:r>
      <w:r w:rsidRPr="000D1CF8">
        <w:rPr>
          <w:rFonts w:ascii="Times New Roman" w:hAnsi="Times New Roman"/>
          <w:sz w:val="28"/>
          <w:szCs w:val="28"/>
          <w:lang w:eastAsia="ru-RU"/>
        </w:rPr>
        <w:t xml:space="preserve"> фахового спрямування.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Базова контролююча програма включає всі тестові завдання з дисциплін природничо-наукової підготовки і дисциплін професійної та практичної підготовки. Екзаменаційні тести складаються із завдань, взятих з базової контролюючої програми.</w:t>
      </w:r>
    </w:p>
    <w:p w:rsidR="003D6AFB" w:rsidRPr="000D1CF8" w:rsidRDefault="003D6AFB" w:rsidP="00B33A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 xml:space="preserve">Так, попереднім освітнім рівнем підготовки бакалавра з терміном навчання 3 роки є неповна вища освіта отримана на основі підготовки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D1CF8">
        <w:rPr>
          <w:rFonts w:ascii="Times New Roman" w:hAnsi="Times New Roman"/>
          <w:sz w:val="28"/>
          <w:szCs w:val="28"/>
          <w:lang w:eastAsia="ru-RU"/>
        </w:rPr>
        <w:t>молодшого спеціаліста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D1CF8">
        <w:rPr>
          <w:rFonts w:ascii="Times New Roman" w:hAnsi="Times New Roman"/>
          <w:sz w:val="28"/>
          <w:szCs w:val="28"/>
          <w:lang w:eastAsia="ru-RU"/>
        </w:rPr>
        <w:t xml:space="preserve"> за спеціальністю «Ветеринарна медицина». На тестовому екзамені випускник повинен підтвердити не тільки наявність знань, навичок і умінь, а й здатність приймати правильні рішення.</w:t>
      </w:r>
    </w:p>
    <w:p w:rsidR="00B33A2A" w:rsidRPr="00450F3A" w:rsidRDefault="003D6AFB" w:rsidP="00450F3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lastRenderedPageBreak/>
        <w:t>Тести професійної компетенції є важливою складовою всього комплексу підсумкової атестації та одним із методів комплексного оцінювання якості підготовки абітурієнта.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 xml:space="preserve">Під час випробування вступнику пропонується виконати тестове завдання, яке включає питання теоретичного характеру, що відповідають базовій частині програми. Для вступних випробувань розроблено 2 варіанти тестових завдань по 50 тестових питань в кожному. На кожне тестове питання може бути одна або декілька правильних відповідей. Для кожного варіанту розроблені ключі правильних відповідей. Кожен екзаменаційний тест 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зброшуровується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, в ньому вказується: № варіанту, тестові питання, варіанти відповідей і графа для відповідей абітурієнтом.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Фахове вступне випробування проводиться у письмовій формі. Тривалість фахового  вступного випробування 1,5 години (1,8 хвилини на одне тестове питання).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На початку тестового екзамену кожний випускник отримує один із варіантів тестового завдання, на якому записує своє прізвище, факультет, номера: групи, варіанта тесту, екзаменаційного листа та дату екзамену. На тестування відводиться одна година. У бланку відповідей випускник проставляє номери правильних, на його погляд, відповідей до тестових завдань.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Після кожного екзамену структуру тестових завдань змінюється.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Використовуючи бланк еталонних відповідей, комісія підраховує кількість правильних відповідей студента і за критеріями оцінок підводить підсумок атестації</w:t>
      </w:r>
      <w:r w:rsidRPr="000D1CF8">
        <w:rPr>
          <w:rFonts w:ascii="Times New Roman" w:hAnsi="Times New Roman"/>
          <w:spacing w:val="20"/>
          <w:sz w:val="28"/>
          <w:szCs w:val="28"/>
          <w:lang w:eastAsia="ru-RU"/>
        </w:rPr>
        <w:t>.</w:t>
      </w:r>
    </w:p>
    <w:p w:rsidR="003D6AFB" w:rsidRPr="000D1CF8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>Фахове вступне випробування оцінюється за 200 - бальною шкалою.</w:t>
      </w:r>
    </w:p>
    <w:p w:rsidR="003D6AFB" w:rsidRDefault="003D6AFB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CF8">
        <w:rPr>
          <w:rFonts w:ascii="Times New Roman" w:hAnsi="Times New Roman"/>
          <w:sz w:val="28"/>
          <w:szCs w:val="28"/>
          <w:lang w:eastAsia="ru-RU"/>
        </w:rPr>
        <w:t xml:space="preserve">При тестовому контролі застосовується така система оцінювання – за кожну правильну відповідь 2 бали, невірну – 0 балів. Максимальна кількість балів за всі правильні відповіді складає – 100 балів. Остаточна оцінка визначається за шкалою 100-200 балів додаванням до суми набраних балів за правильні відповіді </w:t>
      </w:r>
      <w:proofErr w:type="spellStart"/>
      <w:r w:rsidRPr="000D1CF8">
        <w:rPr>
          <w:rFonts w:ascii="Times New Roman" w:hAnsi="Times New Roman"/>
          <w:sz w:val="28"/>
          <w:szCs w:val="28"/>
          <w:lang w:eastAsia="ru-RU"/>
        </w:rPr>
        <w:t>чис</w:t>
      </w:r>
      <w:proofErr w:type="spellEnd"/>
      <w:r w:rsidRPr="000D1CF8">
        <w:rPr>
          <w:rFonts w:ascii="Times New Roman" w:hAnsi="Times New Roman"/>
          <w:sz w:val="28"/>
          <w:szCs w:val="28"/>
          <w:lang w:eastAsia="ru-RU"/>
        </w:rPr>
        <w:t>ла 100 (табл. 3.1).</w:t>
      </w:r>
    </w:p>
    <w:p w:rsidR="00EC1126" w:rsidRDefault="00EC1126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A2A" w:rsidRPr="003D6AFB" w:rsidRDefault="00B33A2A" w:rsidP="003D6A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D6AFB" w:rsidRDefault="003D6AFB" w:rsidP="003D6AFB">
      <w:pPr>
        <w:pStyle w:val="Default"/>
        <w:jc w:val="center"/>
        <w:rPr>
          <w:b/>
          <w:sz w:val="28"/>
          <w:szCs w:val="28"/>
        </w:rPr>
      </w:pPr>
      <w:r w:rsidRPr="007E42FF">
        <w:rPr>
          <w:b/>
          <w:sz w:val="28"/>
          <w:szCs w:val="28"/>
        </w:rPr>
        <w:t>3.1. Критерій оцінювання фахового іспиту</w:t>
      </w:r>
    </w:p>
    <w:p w:rsidR="003D6AFB" w:rsidRPr="007E42FF" w:rsidRDefault="003D6AFB" w:rsidP="003D6AFB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1172"/>
        <w:gridCol w:w="1221"/>
        <w:gridCol w:w="1172"/>
        <w:gridCol w:w="1221"/>
        <w:gridCol w:w="1172"/>
        <w:gridCol w:w="1221"/>
        <w:gridCol w:w="1172"/>
      </w:tblGrid>
      <w:tr w:rsidR="003D6AFB" w:rsidRPr="00475201" w:rsidTr="00007CE4">
        <w:trPr>
          <w:trHeight w:val="441"/>
        </w:trPr>
        <w:tc>
          <w:tcPr>
            <w:tcW w:w="1231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Тестовий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01">
              <w:rPr>
                <w:rFonts w:ascii="Times New Roman" w:hAnsi="Times New Roman"/>
                <w:sz w:val="24"/>
                <w:szCs w:val="24"/>
              </w:rPr>
              <w:t>100-200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20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178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27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180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182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29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184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43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186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31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188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138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45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190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33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192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21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168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47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194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9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35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196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23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49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198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11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148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37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174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50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200</w:t>
            </w:r>
          </w:p>
        </w:tc>
      </w:tr>
      <w:tr w:rsidR="003D6AFB" w:rsidRPr="00475201" w:rsidTr="00007CE4">
        <w:tc>
          <w:tcPr>
            <w:tcW w:w="1231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124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25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150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475201">
              <w:rPr>
                <w:sz w:val="28"/>
                <w:szCs w:val="28"/>
              </w:rPr>
              <w:t>38</w:t>
            </w:r>
          </w:p>
        </w:tc>
        <w:tc>
          <w:tcPr>
            <w:tcW w:w="1232" w:type="dxa"/>
          </w:tcPr>
          <w:p w:rsidR="003D6AFB" w:rsidRPr="00AB007F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  <w:r w:rsidRPr="00AB007F">
              <w:rPr>
                <w:sz w:val="28"/>
                <w:szCs w:val="28"/>
              </w:rPr>
              <w:t>176</w:t>
            </w: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3D6AFB" w:rsidRPr="00475201" w:rsidRDefault="003D6AFB" w:rsidP="00007C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D6AFB" w:rsidRDefault="003D6AFB" w:rsidP="003D6AFB">
      <w:pPr>
        <w:pStyle w:val="Default"/>
        <w:jc w:val="both"/>
        <w:rPr>
          <w:sz w:val="28"/>
          <w:szCs w:val="28"/>
        </w:rPr>
      </w:pPr>
    </w:p>
    <w:p w:rsidR="003D6AFB" w:rsidRDefault="003D6AFB" w:rsidP="003D6AFB">
      <w:pPr>
        <w:pStyle w:val="Default"/>
        <w:jc w:val="both"/>
        <w:rPr>
          <w:sz w:val="28"/>
          <w:szCs w:val="28"/>
        </w:rPr>
      </w:pPr>
    </w:p>
    <w:p w:rsidR="003D6AFB" w:rsidRDefault="003D6AFB" w:rsidP="003D6AFB">
      <w:pPr>
        <w:pStyle w:val="Default"/>
        <w:jc w:val="both"/>
        <w:rPr>
          <w:sz w:val="28"/>
          <w:szCs w:val="28"/>
        </w:rPr>
      </w:pPr>
    </w:p>
    <w:p w:rsidR="003D6AFB" w:rsidRDefault="003D6AFB" w:rsidP="003D6AFB">
      <w:pPr>
        <w:pStyle w:val="Default"/>
        <w:jc w:val="both"/>
        <w:rPr>
          <w:sz w:val="28"/>
          <w:szCs w:val="28"/>
        </w:rPr>
      </w:pPr>
    </w:p>
    <w:p w:rsidR="00B33A2A" w:rsidRDefault="003D6AFB" w:rsidP="003D6A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</w:t>
      </w:r>
    </w:p>
    <w:p w:rsidR="003D6AFB" w:rsidRPr="00A26671" w:rsidRDefault="003D6AFB" w:rsidP="003D6AFB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ветеринарної медицини </w:t>
      </w:r>
      <w:r w:rsidR="00B33A2A">
        <w:rPr>
          <w:sz w:val="28"/>
          <w:szCs w:val="28"/>
        </w:rPr>
        <w:t>та БТ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A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 Д. Пушкар</w:t>
      </w:r>
    </w:p>
    <w:p w:rsidR="003D6AFB" w:rsidRPr="0035495E" w:rsidRDefault="003D6AFB" w:rsidP="003D6AFB">
      <w:pPr>
        <w:tabs>
          <w:tab w:val="left" w:pos="8670"/>
        </w:tabs>
        <w:spacing w:after="0" w:line="36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835417" w:rsidRDefault="00835417"/>
    <w:sectPr w:rsidR="00835417" w:rsidSect="00FA548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247"/>
    <w:multiLevelType w:val="hybridMultilevel"/>
    <w:tmpl w:val="00D8B3B8"/>
    <w:lvl w:ilvl="0" w:tplc="BCC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661C8"/>
    <w:multiLevelType w:val="hybridMultilevel"/>
    <w:tmpl w:val="3976B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4"/>
    <w:rsid w:val="003D6AFB"/>
    <w:rsid w:val="003E1DB7"/>
    <w:rsid w:val="00450F3A"/>
    <w:rsid w:val="00835417"/>
    <w:rsid w:val="00A64B5E"/>
    <w:rsid w:val="00B33A2A"/>
    <w:rsid w:val="00C812C3"/>
    <w:rsid w:val="00E539D4"/>
    <w:rsid w:val="00E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F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B33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C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F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B33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2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2017-05-16T11:54:00Z</cp:lastPrinted>
  <dcterms:created xsi:type="dcterms:W3CDTF">2017-04-29T07:31:00Z</dcterms:created>
  <dcterms:modified xsi:type="dcterms:W3CDTF">2017-05-16T11:56:00Z</dcterms:modified>
</cp:coreProperties>
</file>